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3D45" w14:textId="497D932B" w:rsidR="00A72F9B" w:rsidRDefault="00004315" w:rsidP="00E80761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  <w:bookmarkStart w:id="0" w:name="_GoBack"/>
      <w:bookmarkEnd w:id="0"/>
    </w:p>
    <w:p w14:paraId="68B488FC" w14:textId="77777777" w:rsidR="00805F77" w:rsidRDefault="00805F77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DFE2545" w14:textId="0CA80863" w:rsidR="00153AEA" w:rsidRPr="00153AEA" w:rsidRDefault="00747E00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Financial Management</w:t>
      </w:r>
      <w:r w:rsidR="00B16610">
        <w:rPr>
          <w:color w:val="365F91" w:themeColor="accent1" w:themeShade="BF"/>
        </w:rPr>
        <w:t xml:space="preserve"> </w:t>
      </w:r>
    </w:p>
    <w:p w14:paraId="1E9548F9" w14:textId="77777777" w:rsidR="00B95574" w:rsidRDefault="00B95574" w:rsidP="00E80761">
      <w:pPr>
        <w:pStyle w:val="NormalSingle"/>
        <w:spacing w:after="220"/>
      </w:pPr>
    </w:p>
    <w:p w14:paraId="4A3E24E8" w14:textId="77777777" w:rsidR="00A63125" w:rsidRDefault="00A63125" w:rsidP="00E80761">
      <w:pPr>
        <w:pStyle w:val="NormalSingle"/>
        <w:spacing w:after="220"/>
      </w:pPr>
    </w:p>
    <w:p w14:paraId="0E3F62DE" w14:textId="77777777" w:rsidR="00794FEF" w:rsidRDefault="00794FEF" w:rsidP="00E80761">
      <w:pPr>
        <w:pStyle w:val="NormalSingle"/>
        <w:spacing w:after="220"/>
      </w:pPr>
    </w:p>
    <w:p w14:paraId="120E6C4E" w14:textId="5EA8301C" w:rsidR="00794FEF" w:rsidRDefault="00794FEF" w:rsidP="00E80761">
      <w:pPr>
        <w:pStyle w:val="NormalSingle"/>
        <w:spacing w:after="220"/>
      </w:pPr>
    </w:p>
    <w:p w14:paraId="7CA79712" w14:textId="7CDF3510" w:rsidR="007B4867" w:rsidRDefault="007B4867" w:rsidP="00E80761">
      <w:pPr>
        <w:pStyle w:val="NormalSingle"/>
        <w:spacing w:after="220"/>
      </w:pPr>
    </w:p>
    <w:p w14:paraId="1A039F73" w14:textId="1808C357" w:rsidR="00B16610" w:rsidRDefault="00B16610" w:rsidP="00E80761">
      <w:pPr>
        <w:pStyle w:val="NormalSingle"/>
        <w:spacing w:after="220"/>
      </w:pPr>
    </w:p>
    <w:p w14:paraId="233A9BCD" w14:textId="1A77CDFC" w:rsidR="00B16610" w:rsidRDefault="00B16610" w:rsidP="00E80761">
      <w:pPr>
        <w:pStyle w:val="NormalSingle"/>
        <w:spacing w:after="220"/>
      </w:pPr>
    </w:p>
    <w:p w14:paraId="0125ED1B" w14:textId="1BC16F50" w:rsidR="00B16610" w:rsidRDefault="00B16610" w:rsidP="00E80761">
      <w:pPr>
        <w:pStyle w:val="NormalSingle"/>
        <w:spacing w:after="220"/>
      </w:pPr>
    </w:p>
    <w:p w14:paraId="66D81A5A" w14:textId="77777777" w:rsidR="00B16610" w:rsidRDefault="00B16610" w:rsidP="00E80761">
      <w:pPr>
        <w:pStyle w:val="NormalSingle"/>
        <w:spacing w:after="220"/>
      </w:pPr>
    </w:p>
    <w:p w14:paraId="49580765" w14:textId="77777777" w:rsidR="00E106D8" w:rsidRDefault="00E106D8" w:rsidP="00E80761">
      <w:pPr>
        <w:pStyle w:val="NormalSingle"/>
        <w:spacing w:after="220"/>
      </w:pPr>
    </w:p>
    <w:p w14:paraId="51207852" w14:textId="77777777" w:rsidR="00E106D8" w:rsidRDefault="00E106D8" w:rsidP="00E80761">
      <w:pPr>
        <w:pStyle w:val="NormalSingle"/>
        <w:tabs>
          <w:tab w:val="left" w:pos="2760"/>
        </w:tabs>
        <w:spacing w:after="220"/>
      </w:pPr>
      <w:r>
        <w:tab/>
      </w:r>
    </w:p>
    <w:p w14:paraId="65B4B854" w14:textId="77777777" w:rsidR="00E106D8" w:rsidRDefault="00E106D8" w:rsidP="00E80761">
      <w:pPr>
        <w:pStyle w:val="NormalSingle"/>
        <w:spacing w:after="220"/>
      </w:pPr>
    </w:p>
    <w:p w14:paraId="611066D9" w14:textId="77777777" w:rsidR="00E106D8" w:rsidRDefault="00E106D8" w:rsidP="00E80761">
      <w:pPr>
        <w:pStyle w:val="NormalSingle"/>
        <w:spacing w:after="220"/>
      </w:pPr>
    </w:p>
    <w:p w14:paraId="25DFE4D3" w14:textId="02A8E960" w:rsidR="00B95574" w:rsidRPr="00E106D8" w:rsidRDefault="007D5F9D" w:rsidP="00297CED">
      <w:pPr>
        <w:rPr>
          <w:rFonts w:ascii="Arial" w:hAnsi="Arial" w:cs="Arial"/>
          <w:b/>
          <w:sz w:val="24"/>
          <w:szCs w:val="24"/>
        </w:rPr>
      </w:pPr>
      <w:r w:rsidRPr="00E106D8">
        <w:rPr>
          <w:rFonts w:ascii="Arial" w:hAnsi="Arial" w:cs="Arial"/>
          <w:b/>
          <w:sz w:val="24"/>
          <w:szCs w:val="24"/>
        </w:rPr>
        <w:t>Issue No.</w:t>
      </w:r>
      <w:r w:rsidR="00E106D8">
        <w:rPr>
          <w:rFonts w:ascii="Arial" w:hAnsi="Arial" w:cs="Arial"/>
          <w:b/>
          <w:sz w:val="24"/>
          <w:szCs w:val="24"/>
        </w:rPr>
        <w:tab/>
      </w:r>
      <w:r w:rsidR="00517E8D">
        <w:rPr>
          <w:rFonts w:ascii="Arial" w:hAnsi="Arial" w:cs="Arial"/>
          <w:b/>
          <w:sz w:val="24"/>
          <w:szCs w:val="24"/>
        </w:rPr>
        <w:tab/>
      </w:r>
      <w:r w:rsidR="00F80100">
        <w:rPr>
          <w:rFonts w:ascii="Arial" w:hAnsi="Arial" w:cs="Arial"/>
          <w:b/>
          <w:sz w:val="24"/>
          <w:szCs w:val="24"/>
        </w:rPr>
        <w:t>1</w:t>
      </w:r>
    </w:p>
    <w:p w14:paraId="350BF482" w14:textId="6A186ECF" w:rsidR="008B68E0" w:rsidRDefault="008B68E0" w:rsidP="00297CED">
      <w:pPr>
        <w:rPr>
          <w:rFonts w:ascii="Arial" w:hAnsi="Arial" w:cs="Arial"/>
          <w:b/>
          <w:bCs/>
          <w:sz w:val="24"/>
          <w:szCs w:val="24"/>
        </w:rPr>
      </w:pPr>
      <w:r w:rsidRPr="00E106D8">
        <w:rPr>
          <w:rFonts w:ascii="Arial" w:hAnsi="Arial" w:cs="Arial"/>
          <w:b/>
          <w:bCs/>
          <w:sz w:val="24"/>
          <w:szCs w:val="24"/>
        </w:rPr>
        <w:t>Issue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17E8D"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400288F0" w14:textId="482A901C" w:rsidR="00517E8D" w:rsidRPr="00E106D8" w:rsidRDefault="00517E8D" w:rsidP="0029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39B44708" w14:textId="0BCB8AAF" w:rsidR="001B1055" w:rsidRPr="001B1055" w:rsidRDefault="001B1055" w:rsidP="00E80761">
      <w:pPr>
        <w:tabs>
          <w:tab w:val="center" w:pos="4800"/>
          <w:tab w:val="left" w:pos="6000"/>
          <w:tab w:val="right" w:pos="9480"/>
        </w:tabs>
        <w:spacing w:after="220"/>
      </w:pPr>
      <w:r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B68E0" w:rsidRDefault="008B68E0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4FB5652B" w:rsidR="008B68E0" w:rsidRPr="008B68E0" w:rsidRDefault="008B68E0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F94B9B">
        <w:rPr>
          <w:rFonts w:ascii="Arial" w:hAnsi="Arial" w:cs="Arial"/>
        </w:rPr>
        <w:t>Executive</w:t>
      </w:r>
      <w:r w:rsidR="007F664F">
        <w:rPr>
          <w:rFonts w:ascii="Arial" w:hAnsi="Arial" w:cs="Arial"/>
        </w:rPr>
        <w:t xml:space="preserve"> Committee</w:t>
      </w:r>
      <w:r w:rsidRPr="008B68E0">
        <w:rPr>
          <w:rFonts w:ascii="Arial" w:hAnsi="Arial" w:cs="Arial"/>
        </w:rPr>
        <w:t>.</w:t>
      </w:r>
    </w:p>
    <w:p w14:paraId="06F2BDC7" w14:textId="1712E71E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202C45D5" w14:textId="77777777" w:rsidR="0013404A" w:rsidRDefault="0013404A" w:rsidP="0013404A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5D7FC116" w14:textId="77777777" w:rsidR="0013404A" w:rsidRDefault="0013404A" w:rsidP="0013404A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1EBB5025" w14:textId="0832CE98" w:rsidR="00C60517" w:rsidRDefault="00C60517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12FE5CB5" w14:textId="77777777" w:rsidR="007A1DF6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4337473F" w14:textId="3A0294F0" w:rsidR="00ED2809" w:rsidRDefault="00ED2809" w:rsidP="00E80761">
      <w:pPr>
        <w:spacing w:after="22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75619F9F" w14:textId="61D64D53" w:rsidR="0013404A" w:rsidRDefault="006551CB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13404A">
        <w:rPr>
          <w:noProof/>
        </w:rPr>
        <w:t>1.</w:t>
      </w:r>
      <w:r w:rsidR="0013404A"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="0013404A" w:rsidRPr="006F0198">
        <w:rPr>
          <w:noProof/>
        </w:rPr>
        <w:t>PURPOSE</w:t>
      </w:r>
      <w:r w:rsidR="0013404A">
        <w:rPr>
          <w:noProof/>
        </w:rPr>
        <w:tab/>
      </w:r>
      <w:r w:rsidR="0013404A">
        <w:rPr>
          <w:noProof/>
        </w:rPr>
        <w:fldChar w:fldCharType="begin"/>
      </w:r>
      <w:r w:rsidR="0013404A">
        <w:rPr>
          <w:noProof/>
        </w:rPr>
        <w:instrText xml:space="preserve"> PAGEREF _Toc531162689 \h </w:instrText>
      </w:r>
      <w:r w:rsidR="0013404A">
        <w:rPr>
          <w:noProof/>
        </w:rPr>
      </w:r>
      <w:r w:rsidR="0013404A">
        <w:rPr>
          <w:noProof/>
        </w:rPr>
        <w:fldChar w:fldCharType="separate"/>
      </w:r>
      <w:r w:rsidR="0013404A">
        <w:rPr>
          <w:noProof/>
        </w:rPr>
        <w:t>4</w:t>
      </w:r>
      <w:r w:rsidR="0013404A">
        <w:rPr>
          <w:noProof/>
        </w:rPr>
        <w:fldChar w:fldCharType="end"/>
      </w:r>
    </w:p>
    <w:p w14:paraId="3D359F48" w14:textId="54D027A6" w:rsidR="0013404A" w:rsidRDefault="0013404A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6F0198">
        <w:rPr>
          <w:rFonts w:eastAsia="Times New Roman"/>
          <w:noProof/>
          <w:lang w:eastAsia="ja-JP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ACCOUNTING AND FINANCIAL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_Toc531162690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2C6532" w14:textId="2EA31398" w:rsidR="0013404A" w:rsidRDefault="0013404A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6F0198">
        <w:rPr>
          <w:rFonts w:eastAsia="Times New Roman"/>
          <w:noProof/>
          <w:lang w:eastAsia="ja-JP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ANNUAL BUDGET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_Toc531162691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33196A" w14:textId="6F3798F3" w:rsidR="0013404A" w:rsidRDefault="0013404A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6F0198">
        <w:rPr>
          <w:rFonts w:eastAsia="Times New Roman"/>
          <w:noProof/>
          <w:lang w:eastAsia="ja-JP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MEMBERSHIP FEE POLICY AND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_Toc531162692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262C0B7" w14:textId="7E692DB9" w:rsidR="0013404A" w:rsidRDefault="0013404A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6F0198">
        <w:rPr>
          <w:noProof/>
          <w:lang w:val="en-US" w:eastAsia="en-AU"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Pr="006F0198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_Toc531162693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4DBA10" w14:textId="5A93DBBC" w:rsidR="00A72F9B" w:rsidRDefault="006551CB" w:rsidP="00E80761">
      <w:pPr>
        <w:tabs>
          <w:tab w:val="center" w:pos="4800"/>
          <w:tab w:val="left" w:pos="6000"/>
          <w:tab w:val="right" w:pos="9480"/>
        </w:tabs>
        <w:spacing w:after="220"/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 w:rsidP="00E80761">
      <w:pPr>
        <w:widowControl w:val="0"/>
        <w:spacing w:after="220"/>
        <w:ind w:right="635"/>
        <w:jc w:val="center"/>
        <w:rPr>
          <w:b/>
        </w:rPr>
      </w:pPr>
    </w:p>
    <w:p w14:paraId="0D072080" w14:textId="77777777" w:rsidR="00794FEF" w:rsidRDefault="00794FEF" w:rsidP="00E80761">
      <w:pPr>
        <w:widowControl w:val="0"/>
        <w:spacing w:after="220"/>
        <w:ind w:right="635"/>
        <w:jc w:val="center"/>
        <w:rPr>
          <w:b/>
        </w:rPr>
      </w:pPr>
    </w:p>
    <w:p w14:paraId="657696F4" w14:textId="77777777" w:rsidR="00794FEF" w:rsidRDefault="00AD58D4" w:rsidP="00E80761">
      <w:pPr>
        <w:tabs>
          <w:tab w:val="left" w:pos="4740"/>
        </w:tabs>
        <w:spacing w:after="2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A90698F" w14:textId="5D4EF83D" w:rsidR="00987845" w:rsidRPr="00391769" w:rsidRDefault="00391769" w:rsidP="00391769">
      <w:pPr>
        <w:pStyle w:val="ITISHeading1"/>
        <w:rPr>
          <w:szCs w:val="22"/>
        </w:rPr>
      </w:pPr>
      <w:bookmarkStart w:id="1" w:name="_Toc531162689"/>
      <w:r w:rsidRPr="00391769">
        <w:rPr>
          <w:caps w:val="0"/>
          <w:szCs w:val="22"/>
        </w:rPr>
        <w:lastRenderedPageBreak/>
        <w:t>PURPOSE</w:t>
      </w:r>
      <w:bookmarkEnd w:id="1"/>
    </w:p>
    <w:p w14:paraId="1E44A7CD" w14:textId="706521D9" w:rsidR="004028CF" w:rsidRDefault="00391769" w:rsidP="00C61880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391769">
        <w:rPr>
          <w:rFonts w:ascii="Arial" w:eastAsia="MS Mincho" w:hAnsi="Arial" w:cs="Arial"/>
          <w:szCs w:val="22"/>
          <w:lang w:eastAsia="ja-JP"/>
        </w:rPr>
        <w:t xml:space="preserve">This document outlines the </w:t>
      </w:r>
      <w:r w:rsidR="004028CF">
        <w:rPr>
          <w:rFonts w:ascii="Arial" w:eastAsia="MS Mincho" w:hAnsi="Arial" w:cs="Arial"/>
          <w:szCs w:val="22"/>
          <w:lang w:eastAsia="ja-JP"/>
        </w:rPr>
        <w:t>financial management</w:t>
      </w:r>
      <w:r w:rsidR="00C61880">
        <w:rPr>
          <w:rFonts w:ascii="Arial" w:eastAsia="MS Mincho" w:hAnsi="Arial" w:cs="Arial"/>
          <w:szCs w:val="22"/>
          <w:lang w:eastAsia="ja-JP"/>
        </w:rPr>
        <w:t xml:space="preserve">, </w:t>
      </w:r>
      <w:r w:rsidR="004028CF">
        <w:rPr>
          <w:rFonts w:ascii="Arial" w:eastAsia="MS Mincho" w:hAnsi="Arial" w:cs="Arial"/>
          <w:szCs w:val="22"/>
          <w:lang w:eastAsia="ja-JP"/>
        </w:rPr>
        <w:t>accounting</w:t>
      </w:r>
      <w:r w:rsidR="00C61880">
        <w:rPr>
          <w:rFonts w:ascii="Arial" w:eastAsia="MS Mincho" w:hAnsi="Arial" w:cs="Arial"/>
          <w:szCs w:val="22"/>
          <w:lang w:eastAsia="ja-JP"/>
        </w:rPr>
        <w:t>, and membership fee</w:t>
      </w:r>
      <w:r w:rsidR="004028CF">
        <w:rPr>
          <w:rFonts w:ascii="Arial" w:eastAsia="MS Mincho" w:hAnsi="Arial" w:cs="Arial"/>
          <w:szCs w:val="22"/>
          <w:lang w:eastAsia="ja-JP"/>
        </w:rPr>
        <w:t xml:space="preserve"> policies within APAC.</w:t>
      </w:r>
    </w:p>
    <w:p w14:paraId="7CD98298" w14:textId="77777777" w:rsidR="004028CF" w:rsidRDefault="004028CF" w:rsidP="00391769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 w:cs="Arial"/>
          <w:szCs w:val="22"/>
          <w:lang w:eastAsia="ja-JP"/>
        </w:rPr>
      </w:pPr>
    </w:p>
    <w:p w14:paraId="02BEE646" w14:textId="602F0ED8" w:rsidR="005662DB" w:rsidRPr="004028CF" w:rsidRDefault="004028CF" w:rsidP="004028CF">
      <w:pPr>
        <w:pStyle w:val="ITISHeading1"/>
        <w:tabs>
          <w:tab w:val="clear" w:pos="851"/>
        </w:tabs>
        <w:rPr>
          <w:rFonts w:eastAsia="Times New Roman"/>
          <w:szCs w:val="22"/>
          <w:lang w:eastAsia="ja-JP"/>
        </w:rPr>
      </w:pPr>
      <w:bookmarkStart w:id="2" w:name="_Hlk527015427"/>
      <w:bookmarkStart w:id="3" w:name="_Toc531162690"/>
      <w:r w:rsidRPr="004028CF">
        <w:rPr>
          <w:szCs w:val="22"/>
          <w:lang w:eastAsia="ja-JP"/>
        </w:rPr>
        <w:t>ACCOUNTING AND FINANCIAL MANAGEMENT</w:t>
      </w:r>
      <w:bookmarkEnd w:id="3"/>
    </w:p>
    <w:bookmarkEnd w:id="2"/>
    <w:p w14:paraId="72F58795" w14:textId="5FB628F9" w:rsidR="004028CF" w:rsidRPr="004028CF" w:rsidRDefault="004028CF" w:rsidP="004028CF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>The APAC Secretary is responsible for managing the accounting and finance of APAC in accordance with the service level agreement with APAC, and under the oversight of the APAC Executive</w:t>
      </w:r>
      <w:r w:rsidR="007F664F">
        <w:rPr>
          <w:rFonts w:ascii="Arial" w:eastAsia="Times New Roman" w:hAnsi="Arial"/>
          <w:szCs w:val="22"/>
          <w:lang w:eastAsia="en-AU"/>
        </w:rPr>
        <w:t xml:space="preserve"> Committee</w:t>
      </w:r>
      <w:r w:rsidRPr="004028CF">
        <w:rPr>
          <w:rFonts w:ascii="Arial" w:eastAsia="Times New Roman" w:hAnsi="Arial"/>
          <w:szCs w:val="22"/>
          <w:lang w:eastAsia="en-AU"/>
        </w:rPr>
        <w:t>.</w:t>
      </w:r>
    </w:p>
    <w:p w14:paraId="7568F697" w14:textId="3DF1CEBD" w:rsidR="004028CF" w:rsidRPr="004028CF" w:rsidRDefault="004028CF" w:rsidP="004028CF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 xml:space="preserve">The </w:t>
      </w:r>
      <w:r>
        <w:rPr>
          <w:rFonts w:ascii="Arial" w:eastAsia="Times New Roman" w:hAnsi="Arial"/>
          <w:szCs w:val="22"/>
          <w:lang w:eastAsia="en-AU"/>
        </w:rPr>
        <w:t xml:space="preserve">APAC </w:t>
      </w:r>
      <w:r w:rsidR="007F664F">
        <w:rPr>
          <w:rFonts w:ascii="Arial" w:eastAsia="Times New Roman" w:hAnsi="Arial"/>
          <w:szCs w:val="22"/>
          <w:lang w:eastAsia="en-AU"/>
        </w:rPr>
        <w:t>Secretariat</w:t>
      </w:r>
      <w:r w:rsidRPr="004028CF">
        <w:rPr>
          <w:rFonts w:ascii="Arial" w:eastAsia="Times New Roman" w:hAnsi="Arial"/>
          <w:szCs w:val="22"/>
          <w:lang w:eastAsia="en-AU"/>
        </w:rPr>
        <w:t xml:space="preserve"> is responsible for maintaining a robust accounting system to ensure the accuracy, completeness, and validity of the financial results of operations and the financial position of APAC.</w:t>
      </w:r>
    </w:p>
    <w:p w14:paraId="78F34880" w14:textId="13E05FCA" w:rsidR="004028CF" w:rsidRPr="004028CF" w:rsidRDefault="004028CF" w:rsidP="004028CF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 xml:space="preserve">The </w:t>
      </w:r>
      <w:r>
        <w:rPr>
          <w:rFonts w:ascii="Arial" w:eastAsia="Times New Roman" w:hAnsi="Arial"/>
          <w:szCs w:val="22"/>
          <w:lang w:eastAsia="en-AU"/>
        </w:rPr>
        <w:t xml:space="preserve">APAC </w:t>
      </w:r>
      <w:r w:rsidRPr="004028CF">
        <w:rPr>
          <w:rFonts w:ascii="Arial" w:eastAsia="Times New Roman" w:hAnsi="Arial"/>
          <w:szCs w:val="22"/>
          <w:lang w:eastAsia="en-AU"/>
        </w:rPr>
        <w:t>Secretar</w:t>
      </w:r>
      <w:r w:rsidR="007F664F">
        <w:rPr>
          <w:rFonts w:ascii="Arial" w:eastAsia="Times New Roman" w:hAnsi="Arial"/>
          <w:szCs w:val="22"/>
          <w:lang w:eastAsia="en-AU"/>
        </w:rPr>
        <w:t>iat</w:t>
      </w:r>
      <w:r w:rsidRPr="004028CF">
        <w:rPr>
          <w:rFonts w:ascii="Arial" w:eastAsia="Times New Roman" w:hAnsi="Arial"/>
          <w:szCs w:val="22"/>
          <w:lang w:eastAsia="en-AU"/>
        </w:rPr>
        <w:t xml:space="preserve"> will arrange for the preparation of annual financial accounts in accordance with the Australian equivalent International Financial Reporting Standards.</w:t>
      </w:r>
    </w:p>
    <w:p w14:paraId="05684548" w14:textId="4DDF5202" w:rsidR="004028CF" w:rsidRPr="004028CF" w:rsidRDefault="004028CF" w:rsidP="004028CF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 xml:space="preserve">The </w:t>
      </w:r>
      <w:r>
        <w:rPr>
          <w:rFonts w:ascii="Arial" w:eastAsia="Times New Roman" w:hAnsi="Arial"/>
          <w:szCs w:val="22"/>
          <w:lang w:eastAsia="en-AU"/>
        </w:rPr>
        <w:t xml:space="preserve">APAC </w:t>
      </w:r>
      <w:r w:rsidRPr="004028CF">
        <w:rPr>
          <w:rFonts w:ascii="Arial" w:eastAsia="Times New Roman" w:hAnsi="Arial"/>
          <w:szCs w:val="22"/>
          <w:lang w:eastAsia="en-AU"/>
        </w:rPr>
        <w:t>Secretar</w:t>
      </w:r>
      <w:r w:rsidR="007F664F">
        <w:rPr>
          <w:rFonts w:ascii="Arial" w:eastAsia="Times New Roman" w:hAnsi="Arial"/>
          <w:szCs w:val="22"/>
          <w:lang w:eastAsia="en-AU"/>
        </w:rPr>
        <w:t>iat</w:t>
      </w:r>
      <w:r w:rsidRPr="004028CF">
        <w:rPr>
          <w:rFonts w:ascii="Arial" w:eastAsia="Times New Roman" w:hAnsi="Arial"/>
          <w:szCs w:val="22"/>
          <w:lang w:eastAsia="en-AU"/>
        </w:rPr>
        <w:t xml:space="preserve"> is also responsible for arranging, on behalf of the APAC Executive</w:t>
      </w:r>
      <w:r w:rsidR="007F664F">
        <w:rPr>
          <w:rFonts w:ascii="Arial" w:eastAsia="Times New Roman" w:hAnsi="Arial"/>
          <w:szCs w:val="22"/>
          <w:lang w:eastAsia="en-AU"/>
        </w:rPr>
        <w:t xml:space="preserve"> Committee</w:t>
      </w:r>
      <w:r w:rsidRPr="004028CF">
        <w:rPr>
          <w:rFonts w:ascii="Arial" w:eastAsia="Times New Roman" w:hAnsi="Arial"/>
          <w:szCs w:val="22"/>
          <w:lang w:eastAsia="en-AU"/>
        </w:rPr>
        <w:t>, the audit of the annual financial accounts by a registered auditor.</w:t>
      </w:r>
    </w:p>
    <w:p w14:paraId="221964E6" w14:textId="148A46D1" w:rsidR="004028CF" w:rsidRPr="004028CF" w:rsidRDefault="004028CF" w:rsidP="004028CF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 xml:space="preserve">All financial transactions, events, and conditions relevant to APAC’s operation </w:t>
      </w:r>
      <w:r>
        <w:rPr>
          <w:rFonts w:ascii="Arial" w:eastAsia="Times New Roman" w:hAnsi="Arial"/>
          <w:szCs w:val="22"/>
          <w:lang w:eastAsia="en-AU"/>
        </w:rPr>
        <w:t>shall</w:t>
      </w:r>
      <w:r w:rsidRPr="004028CF">
        <w:rPr>
          <w:rFonts w:ascii="Arial" w:eastAsia="Times New Roman" w:hAnsi="Arial"/>
          <w:szCs w:val="22"/>
          <w:lang w:eastAsia="en-AU"/>
        </w:rPr>
        <w:t xml:space="preserve"> be recorded in accordance with the delegated authority from the APAC Executive</w:t>
      </w:r>
      <w:r w:rsidR="007F664F">
        <w:rPr>
          <w:rFonts w:ascii="Arial" w:eastAsia="Times New Roman" w:hAnsi="Arial"/>
          <w:szCs w:val="22"/>
          <w:lang w:eastAsia="en-AU"/>
        </w:rPr>
        <w:t xml:space="preserve"> Committee</w:t>
      </w:r>
      <w:r w:rsidRPr="004028CF">
        <w:rPr>
          <w:rFonts w:ascii="Arial" w:eastAsia="Times New Roman" w:hAnsi="Arial"/>
          <w:szCs w:val="22"/>
          <w:lang w:eastAsia="en-AU"/>
        </w:rPr>
        <w:t xml:space="preserve">, </w:t>
      </w:r>
      <w:r>
        <w:rPr>
          <w:rFonts w:ascii="Arial" w:eastAsia="Times New Roman" w:hAnsi="Arial"/>
          <w:szCs w:val="22"/>
          <w:lang w:eastAsia="en-AU"/>
        </w:rPr>
        <w:t xml:space="preserve">and </w:t>
      </w:r>
      <w:r w:rsidRPr="004028CF">
        <w:rPr>
          <w:rFonts w:ascii="Arial" w:eastAsia="Times New Roman" w:hAnsi="Arial"/>
          <w:szCs w:val="22"/>
          <w:lang w:eastAsia="en-AU"/>
        </w:rPr>
        <w:t xml:space="preserve">prudent and generally accepted sound financial practices.  </w:t>
      </w:r>
    </w:p>
    <w:p w14:paraId="434094FC" w14:textId="2C73E059" w:rsidR="004028CF" w:rsidRPr="004028CF" w:rsidRDefault="004028CF" w:rsidP="004028CF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 xml:space="preserve">Financial management reports will be prepared and provided by the </w:t>
      </w:r>
      <w:r>
        <w:rPr>
          <w:rFonts w:ascii="Arial" w:eastAsia="Times New Roman" w:hAnsi="Arial"/>
          <w:szCs w:val="22"/>
          <w:lang w:eastAsia="en-AU"/>
        </w:rPr>
        <w:t xml:space="preserve">APAC </w:t>
      </w:r>
      <w:r w:rsidRPr="004028CF">
        <w:rPr>
          <w:rFonts w:ascii="Arial" w:eastAsia="Times New Roman" w:hAnsi="Arial"/>
          <w:szCs w:val="22"/>
          <w:lang w:eastAsia="en-AU"/>
        </w:rPr>
        <w:t>Secretar</w:t>
      </w:r>
      <w:r w:rsidR="007F664F">
        <w:rPr>
          <w:rFonts w:ascii="Arial" w:eastAsia="Times New Roman" w:hAnsi="Arial"/>
          <w:szCs w:val="22"/>
          <w:lang w:eastAsia="en-AU"/>
        </w:rPr>
        <w:t>iat</w:t>
      </w:r>
      <w:r w:rsidRPr="004028CF">
        <w:rPr>
          <w:rFonts w:ascii="Arial" w:eastAsia="Times New Roman" w:hAnsi="Arial"/>
          <w:szCs w:val="22"/>
          <w:lang w:eastAsia="en-AU"/>
        </w:rPr>
        <w:t xml:space="preserve"> to the APAC Executive </w:t>
      </w:r>
      <w:r w:rsidR="007F664F">
        <w:rPr>
          <w:rFonts w:ascii="Arial" w:eastAsia="Times New Roman" w:hAnsi="Arial"/>
          <w:szCs w:val="22"/>
          <w:lang w:eastAsia="en-AU"/>
        </w:rPr>
        <w:t xml:space="preserve">Committee </w:t>
      </w:r>
      <w:r w:rsidRPr="004028CF">
        <w:rPr>
          <w:rFonts w:ascii="Arial" w:eastAsia="Times New Roman" w:hAnsi="Arial"/>
          <w:szCs w:val="22"/>
          <w:lang w:eastAsia="en-AU"/>
        </w:rPr>
        <w:t xml:space="preserve">and members in accordance with the service </w:t>
      </w:r>
      <w:r>
        <w:rPr>
          <w:rFonts w:ascii="Arial" w:eastAsia="Times New Roman" w:hAnsi="Arial"/>
          <w:szCs w:val="22"/>
          <w:lang w:eastAsia="en-AU"/>
        </w:rPr>
        <w:t xml:space="preserve">level </w:t>
      </w:r>
      <w:r w:rsidRPr="004028CF">
        <w:rPr>
          <w:rFonts w:ascii="Arial" w:eastAsia="Times New Roman" w:hAnsi="Arial"/>
          <w:szCs w:val="22"/>
          <w:lang w:eastAsia="en-AU"/>
        </w:rPr>
        <w:t>agreement.</w:t>
      </w:r>
    </w:p>
    <w:p w14:paraId="1FA061B0" w14:textId="4664DCF4" w:rsidR="004028CF" w:rsidRDefault="004028CF" w:rsidP="004028CF">
      <w:pPr>
        <w:spacing w:after="220"/>
        <w:jc w:val="left"/>
        <w:rPr>
          <w:rFonts w:ascii="Arial" w:eastAsia="Times New Roman" w:hAnsi="Arial"/>
          <w:szCs w:val="22"/>
          <w:lang w:eastAsia="en-AU"/>
        </w:rPr>
      </w:pPr>
    </w:p>
    <w:p w14:paraId="795F062D" w14:textId="40B572EE" w:rsidR="00DA5B39" w:rsidRPr="004028CF" w:rsidRDefault="00DA5B39" w:rsidP="00DA5B39">
      <w:pPr>
        <w:pStyle w:val="ITISHeading1"/>
        <w:rPr>
          <w:rFonts w:eastAsia="Times New Roman"/>
          <w:lang w:eastAsia="ja-JP"/>
        </w:rPr>
      </w:pPr>
      <w:bookmarkStart w:id="4" w:name="_Toc531162691"/>
      <w:r w:rsidRPr="004028CF">
        <w:rPr>
          <w:lang w:eastAsia="ja-JP"/>
        </w:rPr>
        <w:t>A</w:t>
      </w:r>
      <w:r>
        <w:rPr>
          <w:lang w:eastAsia="ja-JP"/>
        </w:rPr>
        <w:t>NNUAL BUDGET</w:t>
      </w:r>
      <w:bookmarkEnd w:id="4"/>
    </w:p>
    <w:p w14:paraId="362EBB59" w14:textId="47B6F24A" w:rsidR="004028CF" w:rsidRPr="004028CF" w:rsidRDefault="004028CF" w:rsidP="00DA5B39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 xml:space="preserve">The </w:t>
      </w:r>
      <w:r w:rsidR="00DA5B39">
        <w:rPr>
          <w:rFonts w:ascii="Arial" w:eastAsia="Times New Roman" w:hAnsi="Arial"/>
          <w:szCs w:val="22"/>
          <w:lang w:eastAsia="en-AU"/>
        </w:rPr>
        <w:t xml:space="preserve">APAC </w:t>
      </w:r>
      <w:r w:rsidRPr="004028CF">
        <w:rPr>
          <w:rFonts w:ascii="Arial" w:eastAsia="Times New Roman" w:hAnsi="Arial"/>
          <w:szCs w:val="22"/>
          <w:lang w:eastAsia="en-AU"/>
        </w:rPr>
        <w:t xml:space="preserve">Secretary prepares the annual budget by using the APAC Fee Model to determine the annual fee and following generally accepted practices in the determination of other revenue and expenses.  </w:t>
      </w:r>
      <w:r w:rsidR="00DA5B39">
        <w:rPr>
          <w:rFonts w:ascii="Arial" w:eastAsia="Times New Roman" w:hAnsi="Arial"/>
          <w:szCs w:val="22"/>
          <w:lang w:eastAsia="en-AU"/>
        </w:rPr>
        <w:t xml:space="preserve">The </w:t>
      </w:r>
      <w:r w:rsidRPr="004028CF">
        <w:rPr>
          <w:rFonts w:ascii="Arial" w:eastAsia="Times New Roman" w:hAnsi="Arial"/>
          <w:szCs w:val="22"/>
          <w:lang w:eastAsia="en-AU"/>
        </w:rPr>
        <w:t xml:space="preserve">APAC Executive </w:t>
      </w:r>
      <w:r w:rsidR="007F664F">
        <w:rPr>
          <w:rFonts w:ascii="Arial" w:eastAsia="Times New Roman" w:hAnsi="Arial"/>
          <w:szCs w:val="22"/>
          <w:lang w:eastAsia="en-AU"/>
        </w:rPr>
        <w:t xml:space="preserve">Committee </w:t>
      </w:r>
      <w:r w:rsidRPr="004028CF">
        <w:rPr>
          <w:rFonts w:ascii="Arial" w:eastAsia="Times New Roman" w:hAnsi="Arial"/>
          <w:szCs w:val="22"/>
          <w:lang w:eastAsia="en-AU"/>
        </w:rPr>
        <w:t xml:space="preserve">will review and approve the </w:t>
      </w:r>
      <w:r w:rsidR="00DA5B39">
        <w:rPr>
          <w:rFonts w:ascii="Arial" w:eastAsia="Times New Roman" w:hAnsi="Arial"/>
          <w:szCs w:val="22"/>
          <w:lang w:eastAsia="en-AU"/>
        </w:rPr>
        <w:t>A</w:t>
      </w:r>
      <w:r w:rsidRPr="004028CF">
        <w:rPr>
          <w:rFonts w:ascii="Arial" w:eastAsia="Times New Roman" w:hAnsi="Arial"/>
          <w:szCs w:val="22"/>
          <w:lang w:eastAsia="en-AU"/>
        </w:rPr>
        <w:t>nnual Budget.</w:t>
      </w:r>
    </w:p>
    <w:p w14:paraId="623DDD48" w14:textId="4EDC1778" w:rsidR="004028CF" w:rsidRPr="004028CF" w:rsidRDefault="004028CF" w:rsidP="00DA5B39">
      <w:pPr>
        <w:spacing w:after="220"/>
        <w:ind w:left="851"/>
        <w:jc w:val="left"/>
        <w:rPr>
          <w:rFonts w:ascii="Arial" w:eastAsia="Times New Roman" w:hAnsi="Arial"/>
          <w:szCs w:val="22"/>
          <w:lang w:eastAsia="en-AU"/>
        </w:rPr>
      </w:pPr>
      <w:r w:rsidRPr="004028CF">
        <w:rPr>
          <w:rFonts w:ascii="Arial" w:eastAsia="Times New Roman" w:hAnsi="Arial"/>
          <w:szCs w:val="22"/>
          <w:lang w:eastAsia="en-AU"/>
        </w:rPr>
        <w:t xml:space="preserve">The following general principles in the prudent financial management and budget </w:t>
      </w:r>
      <w:r w:rsidR="00DA5B39">
        <w:rPr>
          <w:rFonts w:ascii="Arial" w:eastAsia="Times New Roman" w:hAnsi="Arial"/>
          <w:szCs w:val="22"/>
          <w:lang w:eastAsia="en-AU"/>
        </w:rPr>
        <w:t>shall</w:t>
      </w:r>
      <w:r w:rsidRPr="004028CF">
        <w:rPr>
          <w:rFonts w:ascii="Arial" w:eastAsia="Times New Roman" w:hAnsi="Arial"/>
          <w:szCs w:val="22"/>
          <w:lang w:eastAsia="en-AU"/>
        </w:rPr>
        <w:t xml:space="preserve"> be followed:</w:t>
      </w:r>
    </w:p>
    <w:p w14:paraId="28E46B39" w14:textId="4C2929D5" w:rsidR="004028CF" w:rsidRPr="004028CF" w:rsidRDefault="004028CF" w:rsidP="00DA5B39">
      <w:pPr>
        <w:numPr>
          <w:ilvl w:val="0"/>
          <w:numId w:val="20"/>
        </w:numPr>
        <w:spacing w:after="220"/>
        <w:ind w:left="1985" w:hanging="567"/>
        <w:jc w:val="left"/>
        <w:rPr>
          <w:rFonts w:ascii="Arial" w:eastAsia="PMingLiU" w:hAnsi="Arial"/>
          <w:szCs w:val="22"/>
          <w:lang w:eastAsia="zh-TW"/>
        </w:rPr>
      </w:pPr>
      <w:r w:rsidRPr="004028CF">
        <w:rPr>
          <w:rFonts w:ascii="Arial" w:eastAsia="PMingLiU" w:hAnsi="Arial"/>
          <w:szCs w:val="22"/>
          <w:lang w:eastAsia="zh-TW"/>
        </w:rPr>
        <w:t>The total operating costs should be recovered over a period of time. This means occasionally the annual fee may not be sufficient to cover the budget expenses.  The budget deficit can be funded by drawing down on the Reserve;</w:t>
      </w:r>
    </w:p>
    <w:p w14:paraId="2D30DBEB" w14:textId="6DACFB87" w:rsidR="004028CF" w:rsidRPr="004028CF" w:rsidRDefault="004028CF" w:rsidP="00DA5B39">
      <w:pPr>
        <w:numPr>
          <w:ilvl w:val="0"/>
          <w:numId w:val="20"/>
        </w:numPr>
        <w:spacing w:after="220"/>
        <w:ind w:left="1985" w:hanging="567"/>
        <w:jc w:val="left"/>
        <w:rPr>
          <w:rFonts w:ascii="Arial" w:eastAsia="PMingLiU" w:hAnsi="Arial"/>
          <w:szCs w:val="22"/>
          <w:lang w:eastAsia="zh-TW"/>
        </w:rPr>
      </w:pPr>
      <w:r w:rsidRPr="004028CF">
        <w:rPr>
          <w:rFonts w:ascii="Arial" w:eastAsia="PMingLiU" w:hAnsi="Arial"/>
          <w:szCs w:val="22"/>
          <w:lang w:eastAsia="zh-TW"/>
        </w:rPr>
        <w:t>In the year when a budget surplus is recorded, the surplus will be added to the Reserve; and</w:t>
      </w:r>
    </w:p>
    <w:p w14:paraId="46719977" w14:textId="30CA5015" w:rsidR="004028CF" w:rsidRPr="004028CF" w:rsidRDefault="004028CF" w:rsidP="00DA5B39">
      <w:pPr>
        <w:numPr>
          <w:ilvl w:val="0"/>
          <w:numId w:val="20"/>
        </w:numPr>
        <w:spacing w:after="220"/>
        <w:ind w:left="1985" w:hanging="567"/>
        <w:jc w:val="left"/>
        <w:rPr>
          <w:rFonts w:ascii="Arial" w:eastAsia="PMingLiU" w:hAnsi="Arial"/>
          <w:szCs w:val="22"/>
          <w:lang w:eastAsia="zh-TW"/>
        </w:rPr>
      </w:pPr>
      <w:r w:rsidRPr="004028CF">
        <w:rPr>
          <w:rFonts w:ascii="Arial" w:eastAsia="PMingLiU" w:hAnsi="Arial"/>
          <w:szCs w:val="22"/>
          <w:lang w:eastAsia="zh-TW"/>
        </w:rPr>
        <w:lastRenderedPageBreak/>
        <w:t xml:space="preserve">To ensure there is sufficient Reserve to provide liquidity, fund occasional budget deficits and unforeseen circumstances, and safeguard solvency, the Executive </w:t>
      </w:r>
      <w:r w:rsidR="007F664F">
        <w:rPr>
          <w:rFonts w:ascii="Arial" w:eastAsia="PMingLiU" w:hAnsi="Arial"/>
          <w:szCs w:val="22"/>
          <w:lang w:eastAsia="zh-TW"/>
        </w:rPr>
        <w:t xml:space="preserve">Committee </w:t>
      </w:r>
      <w:r w:rsidRPr="004028CF">
        <w:rPr>
          <w:rFonts w:ascii="Arial" w:eastAsia="PMingLiU" w:hAnsi="Arial"/>
          <w:szCs w:val="22"/>
          <w:lang w:eastAsia="zh-TW"/>
        </w:rPr>
        <w:t>will determine the level of Reserve and the ratio of the Reserve to the total annual expenses.</w:t>
      </w:r>
    </w:p>
    <w:p w14:paraId="0F1954EF" w14:textId="77777777" w:rsidR="004028CF" w:rsidRPr="004028CF" w:rsidRDefault="004028CF" w:rsidP="004028CF">
      <w:pPr>
        <w:spacing w:after="220"/>
        <w:jc w:val="left"/>
        <w:rPr>
          <w:rFonts w:ascii="Arial" w:eastAsia="PMingLiU" w:hAnsi="Arial"/>
          <w:szCs w:val="22"/>
          <w:lang w:eastAsia="zh-TW"/>
        </w:rPr>
      </w:pPr>
    </w:p>
    <w:p w14:paraId="7810BC9A" w14:textId="792BB34A" w:rsidR="00DA3690" w:rsidRPr="004028CF" w:rsidRDefault="00DA3690" w:rsidP="00DA3690">
      <w:pPr>
        <w:pStyle w:val="ITISHeading1"/>
        <w:rPr>
          <w:rFonts w:eastAsia="Times New Roman"/>
          <w:lang w:eastAsia="ja-JP"/>
        </w:rPr>
      </w:pPr>
      <w:bookmarkStart w:id="5" w:name="_Toc531162692"/>
      <w:r>
        <w:rPr>
          <w:lang w:eastAsia="ja-JP"/>
        </w:rPr>
        <w:t>MEMBERSHIP FEE POLICY AND PROCEDURES</w:t>
      </w:r>
      <w:bookmarkEnd w:id="5"/>
    </w:p>
    <w:p w14:paraId="19AB397F" w14:textId="60A33401" w:rsidR="004028CF" w:rsidRDefault="00C61880" w:rsidP="00C61880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C61880">
        <w:rPr>
          <w:rFonts w:ascii="Arial" w:eastAsia="MS Mincho" w:hAnsi="Arial" w:cs="Arial"/>
          <w:szCs w:val="22"/>
          <w:lang w:eastAsia="ja-JP"/>
        </w:rPr>
        <w:t>As a fundamental principle, the membership fee structure should be simple, fair and equitable. The fee model should distribute the costs in a fair and equitable manner which should as far as practicable reflect the benefit that can reasonably be expected to accrue to members concerned. The second aspect of a fair and equitable contribution to the running cost of APAC is that as members become financially stronger, they should be prepared to contribute proportionally a greater share of the running costs for APAC.</w:t>
      </w:r>
    </w:p>
    <w:p w14:paraId="700F04B8" w14:textId="2F87B1C1" w:rsidR="00C61880" w:rsidRDefault="00C61880" w:rsidP="00C61880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C61880">
        <w:rPr>
          <w:rFonts w:ascii="Arial" w:eastAsia="MS Mincho" w:hAnsi="Arial" w:cs="Arial"/>
          <w:szCs w:val="22"/>
          <w:lang w:eastAsia="ja-JP"/>
        </w:rPr>
        <w:t>In the determination of the annual fee for each year, the APAC Executive</w:t>
      </w:r>
      <w:r w:rsidR="007F664F">
        <w:rPr>
          <w:rFonts w:ascii="Arial" w:eastAsia="MS Mincho" w:hAnsi="Arial" w:cs="Arial"/>
          <w:szCs w:val="22"/>
          <w:lang w:eastAsia="ja-JP"/>
        </w:rPr>
        <w:t xml:space="preserve"> Committee</w:t>
      </w:r>
      <w:r w:rsidRPr="00C61880">
        <w:rPr>
          <w:rFonts w:ascii="Arial" w:eastAsia="MS Mincho" w:hAnsi="Arial" w:cs="Arial"/>
          <w:szCs w:val="22"/>
          <w:lang w:eastAsia="ja-JP"/>
        </w:rPr>
        <w:t xml:space="preserve"> sh</w:t>
      </w:r>
      <w:r>
        <w:rPr>
          <w:rFonts w:ascii="Arial" w:eastAsia="MS Mincho" w:hAnsi="Arial" w:cs="Arial"/>
          <w:szCs w:val="22"/>
          <w:lang w:eastAsia="ja-JP"/>
        </w:rPr>
        <w:t>all</w:t>
      </w:r>
      <w:r w:rsidRPr="00C61880">
        <w:rPr>
          <w:rFonts w:ascii="Arial" w:eastAsia="MS Mincho" w:hAnsi="Arial" w:cs="Arial"/>
          <w:szCs w:val="22"/>
          <w:lang w:eastAsia="ja-JP"/>
        </w:rPr>
        <w:t xml:space="preserve"> </w:t>
      </w:r>
      <w:r>
        <w:rPr>
          <w:rFonts w:ascii="Arial" w:eastAsia="MS Mincho" w:hAnsi="Arial" w:cs="Arial"/>
          <w:szCs w:val="22"/>
          <w:lang w:eastAsia="ja-JP"/>
        </w:rPr>
        <w:t>respect</w:t>
      </w:r>
      <w:r w:rsidRPr="00C61880">
        <w:rPr>
          <w:rFonts w:ascii="Arial" w:eastAsia="MS Mincho" w:hAnsi="Arial" w:cs="Arial"/>
          <w:szCs w:val="22"/>
          <w:lang w:eastAsia="ja-JP"/>
        </w:rPr>
        <w:t xml:space="preserve"> the prudential budgetary measures</w:t>
      </w:r>
      <w:r>
        <w:rPr>
          <w:rFonts w:ascii="Arial" w:eastAsia="MS Mincho" w:hAnsi="Arial" w:cs="Arial"/>
          <w:szCs w:val="22"/>
          <w:lang w:eastAsia="ja-JP"/>
        </w:rPr>
        <w:t xml:space="preserve"> given in Section 3 above.</w:t>
      </w:r>
    </w:p>
    <w:p w14:paraId="3E61F15B" w14:textId="5AF0520A" w:rsidR="00C61880" w:rsidRPr="00C61880" w:rsidRDefault="00C61880" w:rsidP="00055C24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C61880">
        <w:rPr>
          <w:rFonts w:ascii="Arial" w:eastAsia="MS Mincho" w:hAnsi="Arial" w:cs="Arial"/>
          <w:szCs w:val="22"/>
          <w:lang w:eastAsia="ja-JP"/>
        </w:rPr>
        <w:t xml:space="preserve">The details of the parameters and variables for the Fee Model are described in </w:t>
      </w:r>
      <w:r>
        <w:rPr>
          <w:rFonts w:ascii="Arial" w:eastAsia="MS Mincho" w:hAnsi="Arial" w:cs="Arial"/>
          <w:szCs w:val="22"/>
          <w:lang w:eastAsia="ja-JP"/>
        </w:rPr>
        <w:t xml:space="preserve">APAC FFIN-001 </w:t>
      </w:r>
      <w:r w:rsidRPr="00C61880">
        <w:rPr>
          <w:rFonts w:ascii="Arial" w:eastAsia="MS Mincho" w:hAnsi="Arial" w:cs="Arial"/>
          <w:i/>
          <w:szCs w:val="22"/>
          <w:lang w:eastAsia="ja-JP"/>
        </w:rPr>
        <w:t>Membership Fees</w:t>
      </w:r>
      <w:r>
        <w:rPr>
          <w:rFonts w:ascii="Arial" w:eastAsia="MS Mincho" w:hAnsi="Arial" w:cs="Arial"/>
          <w:szCs w:val="22"/>
          <w:lang w:eastAsia="ja-JP"/>
        </w:rPr>
        <w:t>.</w:t>
      </w:r>
    </w:p>
    <w:p w14:paraId="798E1F4B" w14:textId="55960FEE" w:rsidR="00C61880" w:rsidRPr="00C61880" w:rsidRDefault="00055C24" w:rsidP="00C61880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055C24">
        <w:rPr>
          <w:rFonts w:ascii="Arial" w:eastAsia="MS Mincho" w:hAnsi="Arial" w:cs="Arial"/>
          <w:szCs w:val="22"/>
          <w:lang w:eastAsia="ja-JP"/>
        </w:rPr>
        <w:t>It is essential that the parameters and variables in the Fee Model are updated for each year’s annual fee calculation.</w:t>
      </w:r>
      <w:r>
        <w:rPr>
          <w:rFonts w:ascii="Arial" w:eastAsia="MS Mincho" w:hAnsi="Arial" w:cs="Arial"/>
          <w:szCs w:val="22"/>
          <w:lang w:eastAsia="ja-JP"/>
        </w:rPr>
        <w:t xml:space="preserve">  </w:t>
      </w:r>
      <w:r w:rsidR="00C61880" w:rsidRPr="00C61880">
        <w:rPr>
          <w:rFonts w:ascii="Arial" w:eastAsia="MS Mincho" w:hAnsi="Arial" w:cs="Arial"/>
          <w:szCs w:val="22"/>
          <w:lang w:eastAsia="ja-JP"/>
        </w:rPr>
        <w:t xml:space="preserve">The </w:t>
      </w:r>
      <w:r w:rsidR="00C61880">
        <w:rPr>
          <w:rFonts w:ascii="Arial" w:eastAsia="MS Mincho" w:hAnsi="Arial" w:cs="Arial"/>
          <w:szCs w:val="22"/>
          <w:lang w:eastAsia="ja-JP"/>
        </w:rPr>
        <w:t xml:space="preserve">APAC </w:t>
      </w:r>
      <w:r w:rsidR="00C61880" w:rsidRPr="00C61880">
        <w:rPr>
          <w:rFonts w:ascii="Arial" w:eastAsia="MS Mincho" w:hAnsi="Arial" w:cs="Arial"/>
          <w:szCs w:val="22"/>
          <w:lang w:eastAsia="ja-JP"/>
        </w:rPr>
        <w:t>Secretary sh</w:t>
      </w:r>
      <w:r w:rsidR="00C61880">
        <w:rPr>
          <w:rFonts w:ascii="Arial" w:eastAsia="MS Mincho" w:hAnsi="Arial" w:cs="Arial"/>
          <w:szCs w:val="22"/>
          <w:lang w:eastAsia="ja-JP"/>
        </w:rPr>
        <w:t>all</w:t>
      </w:r>
      <w:r w:rsidR="00C61880" w:rsidRPr="00C61880">
        <w:rPr>
          <w:rFonts w:ascii="Arial" w:eastAsia="MS Mincho" w:hAnsi="Arial" w:cs="Arial"/>
          <w:szCs w:val="22"/>
          <w:lang w:eastAsia="ja-JP"/>
        </w:rPr>
        <w:t xml:space="preserve"> collate the necessary data and statistics required for the Fee Model in good time to allow the preliminary outputs from the Fee Model to be reviewed by the </w:t>
      </w:r>
      <w:r w:rsidR="00C61880">
        <w:rPr>
          <w:rFonts w:ascii="Arial" w:eastAsia="MS Mincho" w:hAnsi="Arial" w:cs="Arial"/>
          <w:szCs w:val="22"/>
          <w:lang w:eastAsia="ja-JP"/>
        </w:rPr>
        <w:t xml:space="preserve">APAC </w:t>
      </w:r>
      <w:r w:rsidR="00C61880" w:rsidRPr="00C61880">
        <w:rPr>
          <w:rFonts w:ascii="Arial" w:eastAsia="MS Mincho" w:hAnsi="Arial" w:cs="Arial"/>
          <w:szCs w:val="22"/>
          <w:lang w:eastAsia="ja-JP"/>
        </w:rPr>
        <w:t>Executive</w:t>
      </w:r>
      <w:r w:rsidR="00C61880">
        <w:rPr>
          <w:rFonts w:ascii="Arial" w:eastAsia="MS Mincho" w:hAnsi="Arial" w:cs="Arial"/>
          <w:szCs w:val="22"/>
          <w:lang w:eastAsia="ja-JP"/>
        </w:rPr>
        <w:t xml:space="preserve"> </w:t>
      </w:r>
      <w:r w:rsidR="00C61880" w:rsidRPr="007F664F">
        <w:rPr>
          <w:rFonts w:ascii="Arial" w:eastAsia="MS Mincho" w:hAnsi="Arial" w:cs="Arial"/>
          <w:szCs w:val="22"/>
          <w:lang w:eastAsia="ja-JP"/>
        </w:rPr>
        <w:t>Committee</w:t>
      </w:r>
      <w:r w:rsidRPr="007F664F">
        <w:rPr>
          <w:rFonts w:ascii="Arial" w:eastAsia="MS Mincho" w:hAnsi="Arial" w:cs="Arial"/>
          <w:szCs w:val="22"/>
          <w:lang w:eastAsia="ja-JP"/>
        </w:rPr>
        <w:t xml:space="preserve"> by </w:t>
      </w:r>
      <w:r w:rsidR="007F664F" w:rsidRPr="007F664F">
        <w:rPr>
          <w:rFonts w:ascii="Arial" w:eastAsia="MS Mincho" w:hAnsi="Arial" w:cs="Arial"/>
          <w:szCs w:val="22"/>
          <w:lang w:eastAsia="ja-JP"/>
        </w:rPr>
        <w:t xml:space="preserve">mid-October </w:t>
      </w:r>
      <w:r w:rsidRPr="007F664F">
        <w:rPr>
          <w:rFonts w:ascii="Arial" w:eastAsia="MS Mincho" w:hAnsi="Arial" w:cs="Arial"/>
          <w:szCs w:val="22"/>
          <w:lang w:eastAsia="ja-JP"/>
        </w:rPr>
        <w:t>each year</w:t>
      </w:r>
      <w:r w:rsidR="00C61880" w:rsidRPr="007F664F">
        <w:rPr>
          <w:rFonts w:ascii="Arial" w:eastAsia="MS Mincho" w:hAnsi="Arial" w:cs="Arial"/>
          <w:szCs w:val="22"/>
          <w:lang w:eastAsia="ja-JP"/>
        </w:rPr>
        <w:t>.</w:t>
      </w:r>
    </w:p>
    <w:p w14:paraId="5C5386E4" w14:textId="37C5B47D" w:rsidR="00C61880" w:rsidRPr="00C61880" w:rsidRDefault="00C61880" w:rsidP="00C61880">
      <w:pPr>
        <w:spacing w:after="220"/>
        <w:ind w:left="851"/>
        <w:jc w:val="left"/>
        <w:rPr>
          <w:rFonts w:ascii="Arial" w:eastAsia="MS Mincho" w:hAnsi="Arial" w:cs="Arial"/>
          <w:szCs w:val="22"/>
          <w:lang w:eastAsia="ja-JP"/>
        </w:rPr>
      </w:pPr>
      <w:r w:rsidRPr="00C61880">
        <w:rPr>
          <w:rFonts w:ascii="Arial" w:eastAsia="MS Mincho" w:hAnsi="Arial" w:cs="Arial"/>
          <w:szCs w:val="22"/>
          <w:lang w:eastAsia="ja-JP"/>
        </w:rPr>
        <w:t>The necessary data and statistics sh</w:t>
      </w:r>
      <w:r w:rsidR="00055C24">
        <w:rPr>
          <w:rFonts w:ascii="Arial" w:eastAsia="MS Mincho" w:hAnsi="Arial" w:cs="Arial"/>
          <w:szCs w:val="22"/>
          <w:lang w:eastAsia="ja-JP"/>
        </w:rPr>
        <w:t>all</w:t>
      </w:r>
      <w:r w:rsidRPr="00C61880">
        <w:rPr>
          <w:rFonts w:ascii="Arial" w:eastAsia="MS Mincho" w:hAnsi="Arial" w:cs="Arial"/>
          <w:szCs w:val="22"/>
          <w:lang w:eastAsia="ja-JP"/>
        </w:rPr>
        <w:t xml:space="preserve"> include </w:t>
      </w:r>
      <w:r w:rsidR="00055C24">
        <w:rPr>
          <w:rFonts w:ascii="Arial" w:eastAsia="MS Mincho" w:hAnsi="Arial" w:cs="Arial"/>
          <w:szCs w:val="22"/>
          <w:lang w:eastAsia="ja-JP"/>
        </w:rPr>
        <w:t>any</w:t>
      </w:r>
      <w:r w:rsidRPr="00C61880">
        <w:rPr>
          <w:rFonts w:ascii="Arial" w:eastAsia="MS Mincho" w:hAnsi="Arial" w:cs="Arial"/>
          <w:szCs w:val="22"/>
          <w:lang w:eastAsia="ja-JP"/>
        </w:rPr>
        <w:t xml:space="preserve"> change</w:t>
      </w:r>
      <w:r w:rsidR="00055C24">
        <w:rPr>
          <w:rFonts w:ascii="Arial" w:eastAsia="MS Mincho" w:hAnsi="Arial" w:cs="Arial"/>
          <w:szCs w:val="22"/>
          <w:lang w:eastAsia="ja-JP"/>
        </w:rPr>
        <w:t>s</w:t>
      </w:r>
      <w:r w:rsidRPr="00C61880">
        <w:rPr>
          <w:rFonts w:ascii="Arial" w:eastAsia="MS Mincho" w:hAnsi="Arial" w:cs="Arial"/>
          <w:szCs w:val="22"/>
          <w:lang w:eastAsia="ja-JP"/>
        </w:rPr>
        <w:t xml:space="preserve"> in relevant price indices, and the movements in the membership and </w:t>
      </w:r>
      <w:r w:rsidR="00055C24">
        <w:rPr>
          <w:rFonts w:ascii="Arial" w:eastAsia="MS Mincho" w:hAnsi="Arial" w:cs="Arial"/>
          <w:szCs w:val="22"/>
          <w:lang w:eastAsia="ja-JP"/>
        </w:rPr>
        <w:t xml:space="preserve">accreditation </w:t>
      </w:r>
      <w:r w:rsidRPr="00C61880">
        <w:rPr>
          <w:rFonts w:ascii="Arial" w:eastAsia="MS Mincho" w:hAnsi="Arial" w:cs="Arial"/>
          <w:szCs w:val="22"/>
          <w:lang w:eastAsia="ja-JP"/>
        </w:rPr>
        <w:t xml:space="preserve">scope statistics. </w:t>
      </w:r>
    </w:p>
    <w:p w14:paraId="46E4344C" w14:textId="0E64089B" w:rsidR="00055C24" w:rsidRPr="00055C24" w:rsidRDefault="00055C24" w:rsidP="00055C24">
      <w:pPr>
        <w:ind w:left="851"/>
        <w:rPr>
          <w:rFonts w:ascii="Arial" w:eastAsia="MS Mincho" w:hAnsi="Arial" w:cs="Arial"/>
          <w:szCs w:val="22"/>
          <w:lang w:eastAsia="ja-JP"/>
        </w:rPr>
      </w:pPr>
      <w:r w:rsidRPr="00055C24">
        <w:rPr>
          <w:rFonts w:ascii="Arial" w:eastAsia="MS Mincho" w:hAnsi="Arial" w:cs="Arial"/>
          <w:szCs w:val="22"/>
          <w:lang w:eastAsia="ja-JP"/>
        </w:rPr>
        <w:t xml:space="preserve">The annual fee for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055C24">
        <w:rPr>
          <w:rFonts w:ascii="Arial" w:eastAsia="MS Mincho" w:hAnsi="Arial" w:cs="Arial"/>
          <w:szCs w:val="22"/>
          <w:lang w:eastAsia="ja-JP"/>
        </w:rPr>
        <w:t>Affiliate</w:t>
      </w:r>
      <w:r>
        <w:rPr>
          <w:rFonts w:ascii="Arial" w:eastAsia="MS Mincho" w:hAnsi="Arial" w:cs="Arial"/>
          <w:szCs w:val="22"/>
          <w:lang w:eastAsia="ja-JP"/>
        </w:rPr>
        <w:t>s</w:t>
      </w:r>
      <w:r w:rsidRPr="00055C24">
        <w:rPr>
          <w:rFonts w:ascii="Arial" w:eastAsia="MS Mincho" w:hAnsi="Arial" w:cs="Arial"/>
          <w:szCs w:val="22"/>
          <w:lang w:eastAsia="ja-JP"/>
        </w:rPr>
        <w:t xml:space="preserve"> is currently set a flat rate determined by the </w:t>
      </w:r>
      <w:r>
        <w:rPr>
          <w:rFonts w:ascii="Arial" w:eastAsia="MS Mincho" w:hAnsi="Arial" w:cs="Arial"/>
          <w:szCs w:val="22"/>
          <w:lang w:eastAsia="ja-JP"/>
        </w:rPr>
        <w:t xml:space="preserve">APAC </w:t>
      </w:r>
      <w:r w:rsidRPr="00055C24">
        <w:rPr>
          <w:rFonts w:ascii="Arial" w:eastAsia="MS Mincho" w:hAnsi="Arial" w:cs="Arial"/>
          <w:szCs w:val="22"/>
          <w:lang w:eastAsia="ja-JP"/>
        </w:rPr>
        <w:t>Executive</w:t>
      </w:r>
      <w:r>
        <w:rPr>
          <w:rFonts w:ascii="Arial" w:eastAsia="MS Mincho" w:hAnsi="Arial" w:cs="Arial"/>
          <w:szCs w:val="22"/>
          <w:lang w:eastAsia="ja-JP"/>
        </w:rPr>
        <w:t xml:space="preserve"> Committee</w:t>
      </w:r>
      <w:r w:rsidRPr="00055C24">
        <w:rPr>
          <w:rFonts w:ascii="Arial" w:eastAsia="MS Mincho" w:hAnsi="Arial" w:cs="Arial"/>
          <w:szCs w:val="22"/>
          <w:lang w:eastAsia="ja-JP"/>
        </w:rPr>
        <w:t>. The amount sh</w:t>
      </w:r>
      <w:r>
        <w:rPr>
          <w:rFonts w:ascii="Arial" w:eastAsia="MS Mincho" w:hAnsi="Arial" w:cs="Arial"/>
          <w:szCs w:val="22"/>
          <w:lang w:eastAsia="ja-JP"/>
        </w:rPr>
        <w:t>all</w:t>
      </w:r>
      <w:r w:rsidRPr="00055C24">
        <w:rPr>
          <w:rFonts w:ascii="Arial" w:eastAsia="MS Mincho" w:hAnsi="Arial" w:cs="Arial"/>
          <w:szCs w:val="22"/>
          <w:lang w:eastAsia="ja-JP"/>
        </w:rPr>
        <w:t xml:space="preserve"> be reviewed regularly to ensure it reflects the underlying value of the status </w:t>
      </w:r>
      <w:r>
        <w:rPr>
          <w:rFonts w:ascii="Arial" w:eastAsia="MS Mincho" w:hAnsi="Arial" w:cs="Arial"/>
          <w:szCs w:val="22"/>
          <w:lang w:eastAsia="ja-JP"/>
        </w:rPr>
        <w:t>of being</w:t>
      </w:r>
      <w:r w:rsidRPr="00055C24">
        <w:rPr>
          <w:rFonts w:ascii="Arial" w:eastAsia="MS Mincho" w:hAnsi="Arial" w:cs="Arial"/>
          <w:szCs w:val="22"/>
          <w:lang w:eastAsia="ja-JP"/>
        </w:rPr>
        <w:t xml:space="preserve"> an APAC Affiliate.</w:t>
      </w:r>
    </w:p>
    <w:p w14:paraId="0849A0FD" w14:textId="77777777" w:rsidR="004028CF" w:rsidRPr="004028CF" w:rsidRDefault="004028CF" w:rsidP="00055C24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jc w:val="left"/>
        <w:rPr>
          <w:rFonts w:ascii="Arial" w:eastAsia="MS Mincho" w:hAnsi="Arial" w:cs="Arial"/>
          <w:szCs w:val="22"/>
          <w:lang w:eastAsia="ja-JP"/>
        </w:rPr>
      </w:pPr>
    </w:p>
    <w:p w14:paraId="0166774F" w14:textId="77777777" w:rsidR="00810FF6" w:rsidRPr="004028CF" w:rsidRDefault="00810FF6" w:rsidP="004028CF">
      <w:pPr>
        <w:pStyle w:val="ITISHeading1"/>
        <w:rPr>
          <w:szCs w:val="22"/>
          <w:lang w:val="en-US" w:eastAsia="en-AU"/>
        </w:rPr>
      </w:pPr>
      <w:bookmarkStart w:id="6" w:name="_Toc531162693"/>
      <w:r w:rsidRPr="004028CF">
        <w:rPr>
          <w:szCs w:val="22"/>
          <w:lang w:val="en-US" w:eastAsia="en-AU"/>
        </w:rPr>
        <w:t>AMENDMENT TABLE</w:t>
      </w:r>
      <w:bookmarkEnd w:id="6"/>
    </w:p>
    <w:p w14:paraId="6B5B369B" w14:textId="2FFC8748" w:rsidR="00810FF6" w:rsidRPr="004028CF" w:rsidRDefault="00810FF6" w:rsidP="004028CF">
      <w:pPr>
        <w:tabs>
          <w:tab w:val="left" w:pos="1080"/>
          <w:tab w:val="left" w:pos="1276"/>
        </w:tabs>
        <w:spacing w:after="220"/>
        <w:ind w:left="851"/>
        <w:rPr>
          <w:rFonts w:ascii="Arial" w:eastAsia="Times New Roman" w:hAnsi="Arial"/>
          <w:szCs w:val="22"/>
          <w:lang w:val="en-US" w:eastAsia="en-AU"/>
        </w:rPr>
      </w:pPr>
      <w:r w:rsidRPr="004028CF">
        <w:rPr>
          <w:rFonts w:ascii="Arial" w:eastAsia="Times New Roman" w:hAnsi="Arial" w:cs="Arial"/>
          <w:szCs w:val="22"/>
          <w:lang w:val="en-US" w:eastAsia="en-AU"/>
        </w:rPr>
        <w:t>This table provi</w:t>
      </w:r>
      <w:r w:rsidRPr="004028CF">
        <w:rPr>
          <w:rFonts w:ascii="Arial" w:eastAsia="Times New Roman" w:hAnsi="Arial"/>
          <w:szCs w:val="22"/>
          <w:lang w:val="en-US" w:eastAsia="en-AU"/>
        </w:rPr>
        <w:t>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810FF6" w:rsidRPr="004028CF" w14:paraId="6AA2ABF0" w14:textId="77777777" w:rsidTr="003A50DA">
        <w:tc>
          <w:tcPr>
            <w:tcW w:w="4264" w:type="dxa"/>
          </w:tcPr>
          <w:p w14:paraId="254ACF5F" w14:textId="77777777" w:rsidR="00810FF6" w:rsidRPr="004028CF" w:rsidRDefault="00810FF6" w:rsidP="004028CF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4028CF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264" w:type="dxa"/>
          </w:tcPr>
          <w:p w14:paraId="42023B1D" w14:textId="77777777" w:rsidR="00810FF6" w:rsidRPr="004028CF" w:rsidRDefault="00810FF6" w:rsidP="004028CF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4028CF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810FF6" w:rsidRPr="004028CF" w14:paraId="5CB13FE4" w14:textId="77777777" w:rsidTr="00D120C5">
        <w:trPr>
          <w:trHeight w:val="829"/>
        </w:trPr>
        <w:tc>
          <w:tcPr>
            <w:tcW w:w="4264" w:type="dxa"/>
          </w:tcPr>
          <w:p w14:paraId="7DAAFF4F" w14:textId="77777777" w:rsidR="00810FF6" w:rsidRPr="004028CF" w:rsidRDefault="00810FF6" w:rsidP="004028CF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4028CF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264" w:type="dxa"/>
          </w:tcPr>
          <w:p w14:paraId="6CD2591B" w14:textId="37258BFD" w:rsidR="00810FF6" w:rsidRPr="004028CF" w:rsidRDefault="003411BD" w:rsidP="004028CF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4028CF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</w:t>
            </w:r>
          </w:p>
        </w:tc>
      </w:tr>
      <w:tr w:rsidR="00810FF6" w:rsidRPr="00810FF6" w14:paraId="0F6B68EE" w14:textId="77777777" w:rsidTr="00D120C5">
        <w:trPr>
          <w:trHeight w:val="419"/>
        </w:trPr>
        <w:tc>
          <w:tcPr>
            <w:tcW w:w="4264" w:type="dxa"/>
          </w:tcPr>
          <w:p w14:paraId="16ECFB00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264" w:type="dxa"/>
          </w:tcPr>
          <w:p w14:paraId="1C65FB6E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78C20F18" w14:textId="2EDA2353" w:rsidR="00106087" w:rsidRDefault="00106087" w:rsidP="005662DB">
      <w:pPr>
        <w:jc w:val="left"/>
        <w:rPr>
          <w:rFonts w:ascii="Arial" w:hAnsi="Arial" w:cs="Arial"/>
          <w:b/>
          <w:sz w:val="24"/>
          <w:szCs w:val="24"/>
        </w:rPr>
      </w:pPr>
    </w:p>
    <w:sectPr w:rsidR="00106087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3A50DA" w:rsidRDefault="003A50DA">
      <w:r>
        <w:separator/>
      </w:r>
    </w:p>
  </w:endnote>
  <w:endnote w:type="continuationSeparator" w:id="0">
    <w:p w14:paraId="00D49422" w14:textId="77777777" w:rsidR="003A50DA" w:rsidRDefault="003A50DA">
      <w:r>
        <w:continuationSeparator/>
      </w:r>
    </w:p>
  </w:endnote>
  <w:endnote w:type="continuationNotice" w:id="1">
    <w:p w14:paraId="17C97703" w14:textId="3510F18C" w:rsidR="003A50DA" w:rsidRPr="00380812" w:rsidRDefault="003A50DA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60A4B"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26E76F0E" w14:textId="77777777" w:rsidR="003A50DA" w:rsidRPr="00CF2B53" w:rsidRDefault="003A50DA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3A50DA" w:rsidRDefault="003A50DA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  <w:gridCol w:w="2908"/>
            </w:tblGrid>
            <w:tr w:rsidR="003A50DA" w14:paraId="587D9713" w14:textId="77777777" w:rsidTr="00CF0620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678855AA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No: </w:t>
                  </w:r>
                  <w:r w:rsidR="003411BD">
                    <w:rPr>
                      <w:sz w:val="20"/>
                    </w:rPr>
                    <w:t>1</w:t>
                  </w:r>
                  <w:r w:rsidR="000C35C8">
                    <w:rPr>
                      <w:sz w:val="20"/>
                    </w:rPr>
                    <w:t xml:space="preserve"> (</w:t>
                  </w:r>
                  <w:r w:rsidR="00AB6F50">
                    <w:rPr>
                      <w:sz w:val="20"/>
                    </w:rPr>
                    <w:t>Ver 1.0</w:t>
                  </w:r>
                  <w:r w:rsidR="000C35C8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6A8A2CC0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664F16CA" w:rsidR="003A50DA" w:rsidRDefault="003A50DA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3A50DA" w:rsidRPr="00ED2809" w:rsidRDefault="00F34D87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3A50DA" w:rsidRDefault="003A5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6105CE12" w:rsidR="003A50DA" w:rsidRPr="00ED2809" w:rsidRDefault="003A50DA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60A4B"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3A50DA" w:rsidRDefault="003A5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3A50DA" w:rsidRDefault="003A50DA">
      <w:r>
        <w:separator/>
      </w:r>
    </w:p>
  </w:footnote>
  <w:footnote w:type="continuationSeparator" w:id="0">
    <w:p w14:paraId="64BE9095" w14:textId="77777777" w:rsidR="003A50DA" w:rsidRDefault="003A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33B52521" w:rsidR="003A50DA" w:rsidRPr="00F13E10" w:rsidRDefault="003A50DA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B16610">
      <w:rPr>
        <w:i/>
        <w:color w:val="365F91" w:themeColor="accent1" w:themeShade="BF"/>
        <w:sz w:val="24"/>
        <w:szCs w:val="24"/>
      </w:rPr>
      <w:t>FIN</w:t>
    </w:r>
    <w:r w:rsidR="003411BD">
      <w:rPr>
        <w:i/>
        <w:color w:val="365F91" w:themeColor="accent1" w:themeShade="BF"/>
        <w:sz w:val="24"/>
        <w:szCs w:val="24"/>
      </w:rPr>
      <w:t>-00</w:t>
    </w:r>
    <w:r w:rsidR="00747E00">
      <w:rPr>
        <w:i/>
        <w:color w:val="365F91" w:themeColor="accent1" w:themeShade="BF"/>
        <w:sz w:val="24"/>
        <w:szCs w:val="24"/>
      </w:rPr>
      <w:t>1</w:t>
    </w:r>
    <w:r>
      <w:rPr>
        <w:i/>
        <w:color w:val="365F91" w:themeColor="accent1" w:themeShade="BF"/>
        <w:sz w:val="24"/>
        <w:szCs w:val="24"/>
      </w:rPr>
      <w:t xml:space="preserve"> </w:t>
    </w:r>
    <w:r w:rsidR="00747E00">
      <w:rPr>
        <w:i/>
        <w:color w:val="365F91" w:themeColor="accent1" w:themeShade="BF"/>
        <w:sz w:val="24"/>
        <w:szCs w:val="24"/>
      </w:rPr>
      <w:t>Financial Management</w:t>
    </w:r>
  </w:p>
  <w:p w14:paraId="74BE5B08" w14:textId="77777777" w:rsidR="003A50DA" w:rsidRDefault="003A5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3A50DA" w:rsidRPr="007C3199" w:rsidRDefault="003A50DA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3A50DA" w:rsidRDefault="003A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FA7B9C"/>
    <w:multiLevelType w:val="hybridMultilevel"/>
    <w:tmpl w:val="D79E5B9E"/>
    <w:lvl w:ilvl="0" w:tplc="C1464E96">
      <w:start w:val="1"/>
      <w:numFmt w:val="bullet"/>
      <w:lvlText w:val=""/>
      <w:lvlJc w:val="left"/>
      <w:pPr>
        <w:ind w:left="21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03755100"/>
    <w:multiLevelType w:val="hybridMultilevel"/>
    <w:tmpl w:val="529214C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7F55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C31BDC"/>
    <w:multiLevelType w:val="hybridMultilevel"/>
    <w:tmpl w:val="1B4E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896"/>
    <w:multiLevelType w:val="hybridMultilevel"/>
    <w:tmpl w:val="1826B8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4C04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E45F9A"/>
    <w:multiLevelType w:val="hybridMultilevel"/>
    <w:tmpl w:val="E39C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01F"/>
    <w:multiLevelType w:val="multilevel"/>
    <w:tmpl w:val="70B2C3E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8D1E0B"/>
    <w:multiLevelType w:val="hybridMultilevel"/>
    <w:tmpl w:val="76621C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2A7121"/>
    <w:multiLevelType w:val="hybridMultilevel"/>
    <w:tmpl w:val="A44C718E"/>
    <w:lvl w:ilvl="0" w:tplc="C1464E96">
      <w:start w:val="1"/>
      <w:numFmt w:val="bullet"/>
      <w:lvlText w:val=""/>
      <w:lvlJc w:val="left"/>
      <w:pPr>
        <w:ind w:left="2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4" w15:restartNumberingAfterBreak="0">
    <w:nsid w:val="43864115"/>
    <w:multiLevelType w:val="hybridMultilevel"/>
    <w:tmpl w:val="65C49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2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D669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2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7221525"/>
    <w:multiLevelType w:val="hybridMultilevel"/>
    <w:tmpl w:val="7BB8C95E"/>
    <w:lvl w:ilvl="0" w:tplc="528891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5"/>
  </w:num>
  <w:num w:numId="2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72D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D8C"/>
    <w:rsid w:val="00040F43"/>
    <w:rsid w:val="00041A2E"/>
    <w:rsid w:val="000420D5"/>
    <w:rsid w:val="0004290A"/>
    <w:rsid w:val="000448E6"/>
    <w:rsid w:val="00044A1E"/>
    <w:rsid w:val="00045622"/>
    <w:rsid w:val="00045F77"/>
    <w:rsid w:val="0004675F"/>
    <w:rsid w:val="00047D21"/>
    <w:rsid w:val="000522D4"/>
    <w:rsid w:val="000529BF"/>
    <w:rsid w:val="00053B30"/>
    <w:rsid w:val="0005429A"/>
    <w:rsid w:val="00054CD3"/>
    <w:rsid w:val="00055C24"/>
    <w:rsid w:val="00056CF2"/>
    <w:rsid w:val="00057081"/>
    <w:rsid w:val="0005708B"/>
    <w:rsid w:val="00057F70"/>
    <w:rsid w:val="00060A4B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461D"/>
    <w:rsid w:val="00075CFD"/>
    <w:rsid w:val="00077E26"/>
    <w:rsid w:val="00080C5C"/>
    <w:rsid w:val="00080DD1"/>
    <w:rsid w:val="00080FEA"/>
    <w:rsid w:val="000818BD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35C8"/>
    <w:rsid w:val="000C6C00"/>
    <w:rsid w:val="000D0979"/>
    <w:rsid w:val="000D1070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087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5D66"/>
    <w:rsid w:val="00126733"/>
    <w:rsid w:val="0012688F"/>
    <w:rsid w:val="00126E80"/>
    <w:rsid w:val="00126E91"/>
    <w:rsid w:val="00130623"/>
    <w:rsid w:val="00131028"/>
    <w:rsid w:val="00131DCF"/>
    <w:rsid w:val="0013247D"/>
    <w:rsid w:val="00132FD2"/>
    <w:rsid w:val="00133758"/>
    <w:rsid w:val="0013404A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6E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459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23B0"/>
    <w:rsid w:val="001D31A3"/>
    <w:rsid w:val="001D36AC"/>
    <w:rsid w:val="001D4731"/>
    <w:rsid w:val="001D48A6"/>
    <w:rsid w:val="001D6C74"/>
    <w:rsid w:val="001D6F4A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054AF"/>
    <w:rsid w:val="00216125"/>
    <w:rsid w:val="00217990"/>
    <w:rsid w:val="002210F6"/>
    <w:rsid w:val="002215E9"/>
    <w:rsid w:val="002228ED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6CC1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685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97CED"/>
    <w:rsid w:val="002A0147"/>
    <w:rsid w:val="002A35B8"/>
    <w:rsid w:val="002A56D8"/>
    <w:rsid w:val="002A6BFC"/>
    <w:rsid w:val="002A7945"/>
    <w:rsid w:val="002B12EA"/>
    <w:rsid w:val="002B2412"/>
    <w:rsid w:val="002B2D02"/>
    <w:rsid w:val="002B30C3"/>
    <w:rsid w:val="002B4F1C"/>
    <w:rsid w:val="002C075D"/>
    <w:rsid w:val="002C1502"/>
    <w:rsid w:val="002C23F7"/>
    <w:rsid w:val="002C3F85"/>
    <w:rsid w:val="002C4BF6"/>
    <w:rsid w:val="002C5E12"/>
    <w:rsid w:val="002D04CB"/>
    <w:rsid w:val="002D19D6"/>
    <w:rsid w:val="002D1ABE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3133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57DE"/>
    <w:rsid w:val="00326FD6"/>
    <w:rsid w:val="003313AE"/>
    <w:rsid w:val="00331E0F"/>
    <w:rsid w:val="00331EED"/>
    <w:rsid w:val="00332D91"/>
    <w:rsid w:val="0033358E"/>
    <w:rsid w:val="003349B8"/>
    <w:rsid w:val="00335A20"/>
    <w:rsid w:val="00335B34"/>
    <w:rsid w:val="003362F1"/>
    <w:rsid w:val="00336B3D"/>
    <w:rsid w:val="0033703A"/>
    <w:rsid w:val="00337C02"/>
    <w:rsid w:val="003408C1"/>
    <w:rsid w:val="003411BD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0AAD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1769"/>
    <w:rsid w:val="00392AC1"/>
    <w:rsid w:val="00393131"/>
    <w:rsid w:val="0039514B"/>
    <w:rsid w:val="00396319"/>
    <w:rsid w:val="003A0C1D"/>
    <w:rsid w:val="003A13C2"/>
    <w:rsid w:val="003A1C15"/>
    <w:rsid w:val="003A3872"/>
    <w:rsid w:val="003A42AC"/>
    <w:rsid w:val="003A50DA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0FC7"/>
    <w:rsid w:val="003C24F9"/>
    <w:rsid w:val="003C2B3F"/>
    <w:rsid w:val="003C38EC"/>
    <w:rsid w:val="003C4F62"/>
    <w:rsid w:val="003C730B"/>
    <w:rsid w:val="003C7988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55E"/>
    <w:rsid w:val="003F233D"/>
    <w:rsid w:val="003F4622"/>
    <w:rsid w:val="003F4EF3"/>
    <w:rsid w:val="003F6455"/>
    <w:rsid w:val="003F7A7C"/>
    <w:rsid w:val="004000F3"/>
    <w:rsid w:val="00401CF4"/>
    <w:rsid w:val="004025AC"/>
    <w:rsid w:val="004028CF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5CA1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462"/>
    <w:rsid w:val="00427BE1"/>
    <w:rsid w:val="004326A3"/>
    <w:rsid w:val="004331C5"/>
    <w:rsid w:val="00434696"/>
    <w:rsid w:val="00435A77"/>
    <w:rsid w:val="00435BD6"/>
    <w:rsid w:val="00436355"/>
    <w:rsid w:val="004429ED"/>
    <w:rsid w:val="004463B0"/>
    <w:rsid w:val="004468FB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5643"/>
    <w:rsid w:val="0046627F"/>
    <w:rsid w:val="00466435"/>
    <w:rsid w:val="00474F13"/>
    <w:rsid w:val="00476221"/>
    <w:rsid w:val="00476381"/>
    <w:rsid w:val="0047638F"/>
    <w:rsid w:val="00480994"/>
    <w:rsid w:val="00480E34"/>
    <w:rsid w:val="00482420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08A6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6AEB"/>
    <w:rsid w:val="004A7D9D"/>
    <w:rsid w:val="004B2C37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574"/>
    <w:rsid w:val="004D5F5F"/>
    <w:rsid w:val="004D61F9"/>
    <w:rsid w:val="004D671A"/>
    <w:rsid w:val="004D6861"/>
    <w:rsid w:val="004D729B"/>
    <w:rsid w:val="004D748D"/>
    <w:rsid w:val="004E0AD0"/>
    <w:rsid w:val="004E0AE4"/>
    <w:rsid w:val="004E1EB1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3898"/>
    <w:rsid w:val="004F423F"/>
    <w:rsid w:val="004F6C6D"/>
    <w:rsid w:val="004F6DC3"/>
    <w:rsid w:val="004F710B"/>
    <w:rsid w:val="004F7885"/>
    <w:rsid w:val="004F7CEF"/>
    <w:rsid w:val="00500855"/>
    <w:rsid w:val="00500EAD"/>
    <w:rsid w:val="00502A47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23F"/>
    <w:rsid w:val="00556FDC"/>
    <w:rsid w:val="00557287"/>
    <w:rsid w:val="00560265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662DB"/>
    <w:rsid w:val="00572208"/>
    <w:rsid w:val="00573E9D"/>
    <w:rsid w:val="005764EB"/>
    <w:rsid w:val="0057698F"/>
    <w:rsid w:val="005770AC"/>
    <w:rsid w:val="005815B6"/>
    <w:rsid w:val="0058165B"/>
    <w:rsid w:val="00582614"/>
    <w:rsid w:val="00585A82"/>
    <w:rsid w:val="00587044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5483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0F34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32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1C72"/>
    <w:rsid w:val="006E260C"/>
    <w:rsid w:val="006E31B8"/>
    <w:rsid w:val="006E678C"/>
    <w:rsid w:val="006E6906"/>
    <w:rsid w:val="006E73CA"/>
    <w:rsid w:val="006F0EF9"/>
    <w:rsid w:val="006F229F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A90"/>
    <w:rsid w:val="00732FF8"/>
    <w:rsid w:val="007347A7"/>
    <w:rsid w:val="00736B09"/>
    <w:rsid w:val="00737229"/>
    <w:rsid w:val="007413B2"/>
    <w:rsid w:val="00746849"/>
    <w:rsid w:val="00746EB3"/>
    <w:rsid w:val="007474DB"/>
    <w:rsid w:val="00747E00"/>
    <w:rsid w:val="007507A7"/>
    <w:rsid w:val="007521FA"/>
    <w:rsid w:val="00752C64"/>
    <w:rsid w:val="00752D05"/>
    <w:rsid w:val="0075333D"/>
    <w:rsid w:val="00753F7D"/>
    <w:rsid w:val="00756678"/>
    <w:rsid w:val="00757F01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9CE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1A9C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979BC"/>
    <w:rsid w:val="00797E30"/>
    <w:rsid w:val="007A0876"/>
    <w:rsid w:val="007A0FBC"/>
    <w:rsid w:val="007A1DF6"/>
    <w:rsid w:val="007A1FBF"/>
    <w:rsid w:val="007A38FD"/>
    <w:rsid w:val="007A5996"/>
    <w:rsid w:val="007A7685"/>
    <w:rsid w:val="007B168F"/>
    <w:rsid w:val="007B1DCA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E753E"/>
    <w:rsid w:val="007F1306"/>
    <w:rsid w:val="007F14FD"/>
    <w:rsid w:val="007F39E3"/>
    <w:rsid w:val="007F4364"/>
    <w:rsid w:val="007F664F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F77"/>
    <w:rsid w:val="00806943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3F07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5040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0ACE"/>
    <w:rsid w:val="00882355"/>
    <w:rsid w:val="00882C19"/>
    <w:rsid w:val="00883B32"/>
    <w:rsid w:val="00884083"/>
    <w:rsid w:val="008846EC"/>
    <w:rsid w:val="00884AFE"/>
    <w:rsid w:val="00886A3A"/>
    <w:rsid w:val="0088771D"/>
    <w:rsid w:val="008920C7"/>
    <w:rsid w:val="0089599A"/>
    <w:rsid w:val="008960F2"/>
    <w:rsid w:val="008974F3"/>
    <w:rsid w:val="008A12B6"/>
    <w:rsid w:val="008A1947"/>
    <w:rsid w:val="008A2DCE"/>
    <w:rsid w:val="008A49F0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34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4A53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3C58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644C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A04"/>
    <w:rsid w:val="00981C8F"/>
    <w:rsid w:val="00984106"/>
    <w:rsid w:val="009843EE"/>
    <w:rsid w:val="00986A7D"/>
    <w:rsid w:val="00987845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4D51"/>
    <w:rsid w:val="009B5D9F"/>
    <w:rsid w:val="009B64EB"/>
    <w:rsid w:val="009B7AF3"/>
    <w:rsid w:val="009C06EA"/>
    <w:rsid w:val="009C3458"/>
    <w:rsid w:val="009C4BE5"/>
    <w:rsid w:val="009C579A"/>
    <w:rsid w:val="009C6F30"/>
    <w:rsid w:val="009D0565"/>
    <w:rsid w:val="009D11B5"/>
    <w:rsid w:val="009D1A31"/>
    <w:rsid w:val="009D264C"/>
    <w:rsid w:val="009D3D4D"/>
    <w:rsid w:val="009D66C3"/>
    <w:rsid w:val="009D7C8F"/>
    <w:rsid w:val="009E125F"/>
    <w:rsid w:val="009E29BB"/>
    <w:rsid w:val="009E2BB4"/>
    <w:rsid w:val="009E30A2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47CB"/>
    <w:rsid w:val="00A556FA"/>
    <w:rsid w:val="00A5689E"/>
    <w:rsid w:val="00A56920"/>
    <w:rsid w:val="00A57D67"/>
    <w:rsid w:val="00A61412"/>
    <w:rsid w:val="00A61477"/>
    <w:rsid w:val="00A61707"/>
    <w:rsid w:val="00A62454"/>
    <w:rsid w:val="00A63125"/>
    <w:rsid w:val="00A639A7"/>
    <w:rsid w:val="00A64B92"/>
    <w:rsid w:val="00A669DB"/>
    <w:rsid w:val="00A67E9A"/>
    <w:rsid w:val="00A70139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37C"/>
    <w:rsid w:val="00A76F73"/>
    <w:rsid w:val="00A77491"/>
    <w:rsid w:val="00A776CA"/>
    <w:rsid w:val="00A77841"/>
    <w:rsid w:val="00A80C3C"/>
    <w:rsid w:val="00A835B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29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6F50"/>
    <w:rsid w:val="00AB7B3C"/>
    <w:rsid w:val="00AC3A6C"/>
    <w:rsid w:val="00AC3DC8"/>
    <w:rsid w:val="00AC40D7"/>
    <w:rsid w:val="00AC4FA1"/>
    <w:rsid w:val="00AC7188"/>
    <w:rsid w:val="00AC7262"/>
    <w:rsid w:val="00AD1E76"/>
    <w:rsid w:val="00AD2F5C"/>
    <w:rsid w:val="00AD4FC5"/>
    <w:rsid w:val="00AD5093"/>
    <w:rsid w:val="00AD58D4"/>
    <w:rsid w:val="00AD5F71"/>
    <w:rsid w:val="00AD6D47"/>
    <w:rsid w:val="00AD7AF0"/>
    <w:rsid w:val="00AD7BFA"/>
    <w:rsid w:val="00AE082F"/>
    <w:rsid w:val="00AE1C65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610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006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14D9"/>
    <w:rsid w:val="00B95574"/>
    <w:rsid w:val="00B9764F"/>
    <w:rsid w:val="00B97E45"/>
    <w:rsid w:val="00BA0632"/>
    <w:rsid w:val="00BA197B"/>
    <w:rsid w:val="00BA262B"/>
    <w:rsid w:val="00BA26FD"/>
    <w:rsid w:val="00BA450C"/>
    <w:rsid w:val="00BA65A5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3AC9"/>
    <w:rsid w:val="00BC4122"/>
    <w:rsid w:val="00BC4928"/>
    <w:rsid w:val="00BC66DA"/>
    <w:rsid w:val="00BC7365"/>
    <w:rsid w:val="00BC7963"/>
    <w:rsid w:val="00BD03F7"/>
    <w:rsid w:val="00BD336C"/>
    <w:rsid w:val="00BD4E25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40F"/>
    <w:rsid w:val="00C06DC6"/>
    <w:rsid w:val="00C071EB"/>
    <w:rsid w:val="00C107C6"/>
    <w:rsid w:val="00C1123A"/>
    <w:rsid w:val="00C12DBB"/>
    <w:rsid w:val="00C13C2E"/>
    <w:rsid w:val="00C1435A"/>
    <w:rsid w:val="00C16BBA"/>
    <w:rsid w:val="00C203E1"/>
    <w:rsid w:val="00C20733"/>
    <w:rsid w:val="00C2075A"/>
    <w:rsid w:val="00C20D43"/>
    <w:rsid w:val="00C2143C"/>
    <w:rsid w:val="00C21D9F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1880"/>
    <w:rsid w:val="00C624AE"/>
    <w:rsid w:val="00C629D6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D48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1A2C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620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0C5"/>
    <w:rsid w:val="00D12AFD"/>
    <w:rsid w:val="00D1305A"/>
    <w:rsid w:val="00D15AB0"/>
    <w:rsid w:val="00D15C43"/>
    <w:rsid w:val="00D17BB8"/>
    <w:rsid w:val="00D2006B"/>
    <w:rsid w:val="00D2166A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4BAD"/>
    <w:rsid w:val="00D6537B"/>
    <w:rsid w:val="00D6559E"/>
    <w:rsid w:val="00D65D1D"/>
    <w:rsid w:val="00D65EF7"/>
    <w:rsid w:val="00D6680F"/>
    <w:rsid w:val="00D66FB9"/>
    <w:rsid w:val="00D67D1C"/>
    <w:rsid w:val="00D719B8"/>
    <w:rsid w:val="00D72A1B"/>
    <w:rsid w:val="00D750E3"/>
    <w:rsid w:val="00D75477"/>
    <w:rsid w:val="00D75E48"/>
    <w:rsid w:val="00D760BC"/>
    <w:rsid w:val="00D76386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690"/>
    <w:rsid w:val="00DA3ADC"/>
    <w:rsid w:val="00DA41CE"/>
    <w:rsid w:val="00DA5B39"/>
    <w:rsid w:val="00DA6675"/>
    <w:rsid w:val="00DA6BDE"/>
    <w:rsid w:val="00DA6ED2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1EC6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359E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0761"/>
    <w:rsid w:val="00E81132"/>
    <w:rsid w:val="00E81751"/>
    <w:rsid w:val="00E90734"/>
    <w:rsid w:val="00E91950"/>
    <w:rsid w:val="00E921CF"/>
    <w:rsid w:val="00E9263D"/>
    <w:rsid w:val="00E928FF"/>
    <w:rsid w:val="00E944FE"/>
    <w:rsid w:val="00E946F7"/>
    <w:rsid w:val="00E94C24"/>
    <w:rsid w:val="00E95792"/>
    <w:rsid w:val="00E95A80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710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01A5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4D87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D74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0100"/>
    <w:rsid w:val="00F814E6"/>
    <w:rsid w:val="00F83648"/>
    <w:rsid w:val="00F87E01"/>
    <w:rsid w:val="00F9104D"/>
    <w:rsid w:val="00F919A6"/>
    <w:rsid w:val="00F922C8"/>
    <w:rsid w:val="00F928E9"/>
    <w:rsid w:val="00F94A3B"/>
    <w:rsid w:val="00F94B9B"/>
    <w:rsid w:val="00F96294"/>
    <w:rsid w:val="00F977AC"/>
    <w:rsid w:val="00F97DAB"/>
    <w:rsid w:val="00FA002B"/>
    <w:rsid w:val="00FA1000"/>
    <w:rsid w:val="00FA3B00"/>
    <w:rsid w:val="00FA57B1"/>
    <w:rsid w:val="00FA6A5E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1D6A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15C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55CA-76E2-4F98-9450-D9FF59D8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4885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2018-11-28T02:01:00Z</dcterms:created>
  <dcterms:modified xsi:type="dcterms:W3CDTF">2018-11-28T02:03:00Z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