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68241" w14:textId="435D5236" w:rsidR="00811EE5" w:rsidRDefault="002F2600" w:rsidP="00E67F1D">
      <w:pPr>
        <w:tabs>
          <w:tab w:val="right" w:pos="9480"/>
        </w:tabs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  <w:r>
        <w:rPr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6E27CC2A" w14:textId="77777777" w:rsidR="00520844" w:rsidRPr="00811EE5" w:rsidRDefault="00520844" w:rsidP="00E67F1D">
      <w:pPr>
        <w:tabs>
          <w:tab w:val="right" w:pos="9480"/>
        </w:tabs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04BF84AF" w14:textId="77777777" w:rsidR="00EA1BB1" w:rsidRDefault="00EA1BB1" w:rsidP="00EA1BB1">
      <w:pPr>
        <w:tabs>
          <w:tab w:val="center" w:pos="4253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ab/>
      </w:r>
    </w:p>
    <w:p w14:paraId="4251D4C3" w14:textId="77777777" w:rsidR="00EA1BB1" w:rsidRPr="003F4AC8" w:rsidRDefault="00EA1BB1" w:rsidP="00EA1BB1">
      <w:pPr>
        <w:pStyle w:val="ITISHeading1"/>
      </w:pPr>
      <w:bookmarkStart w:id="1" w:name="_Toc496429288"/>
      <w:r>
        <w:t>POSITION DETAILS</w:t>
      </w:r>
      <w:bookmarkEnd w:id="1"/>
    </w:p>
    <w:tbl>
      <w:tblPr>
        <w:tblStyle w:val="TableGrid2"/>
        <w:tblW w:w="0" w:type="auto"/>
        <w:tblInd w:w="959" w:type="dxa"/>
        <w:tblLook w:val="04A0" w:firstRow="1" w:lastRow="0" w:firstColumn="1" w:lastColumn="0" w:noHBand="0" w:noVBand="1"/>
      </w:tblPr>
      <w:tblGrid>
        <w:gridCol w:w="2126"/>
        <w:gridCol w:w="5103"/>
      </w:tblGrid>
      <w:tr w:rsidR="00EA1BB1" w:rsidRPr="00B95FD3" w14:paraId="166C679A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585C169A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Position title:</w:t>
            </w:r>
          </w:p>
        </w:tc>
        <w:tc>
          <w:tcPr>
            <w:tcW w:w="5103" w:type="dxa"/>
            <w:vAlign w:val="center"/>
          </w:tcPr>
          <w:p w14:paraId="5FDC0303" w14:textId="6F42EC9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AP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AC </w:t>
            </w:r>
            <w:r w:rsidR="00A931E5">
              <w:rPr>
                <w:rFonts w:ascii="Arial" w:hAnsi="Arial" w:cs="Arial"/>
                <w:b/>
                <w:lang w:val="en-US"/>
              </w:rPr>
              <w:t>Executive Committee Member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 </w:t>
            </w:r>
          </w:p>
        </w:tc>
      </w:tr>
      <w:tr w:rsidR="00EA1BB1" w:rsidRPr="00B95FD3" w14:paraId="1B227930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57CF4CCB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Reports to:</w:t>
            </w:r>
          </w:p>
        </w:tc>
        <w:tc>
          <w:tcPr>
            <w:tcW w:w="5103" w:type="dxa"/>
            <w:vAlign w:val="center"/>
          </w:tcPr>
          <w:p w14:paraId="46C1FD62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AP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AC General Assembly </w:t>
            </w:r>
          </w:p>
        </w:tc>
      </w:tr>
      <w:tr w:rsidR="00EA1BB1" w:rsidRPr="00B95FD3" w14:paraId="0F38F20F" w14:textId="77777777" w:rsidTr="00E45B1E">
        <w:trPr>
          <w:trHeight w:val="454"/>
        </w:trPr>
        <w:tc>
          <w:tcPr>
            <w:tcW w:w="2126" w:type="dxa"/>
            <w:vAlign w:val="center"/>
          </w:tcPr>
          <w:p w14:paraId="148FDF16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B95FD3">
              <w:rPr>
                <w:rFonts w:ascii="Arial" w:hAnsi="Arial" w:cs="Arial"/>
                <w:b/>
                <w:lang w:val="en-US"/>
              </w:rPr>
              <w:t>Position term:</w:t>
            </w:r>
          </w:p>
        </w:tc>
        <w:tc>
          <w:tcPr>
            <w:tcW w:w="5103" w:type="dxa"/>
            <w:vAlign w:val="center"/>
          </w:tcPr>
          <w:p w14:paraId="6E6E0EC1" w14:textId="77777777" w:rsidR="00EA1BB1" w:rsidRPr="00B95FD3" w:rsidRDefault="00EA1BB1" w:rsidP="00E45B1E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Three</w:t>
            </w:r>
            <w:r w:rsidRPr="00B95FD3">
              <w:rPr>
                <w:rFonts w:ascii="Arial" w:hAnsi="Arial" w:cs="Arial"/>
                <w:b/>
                <w:lang w:val="en-US"/>
              </w:rPr>
              <w:t xml:space="preserve"> years</w:t>
            </w:r>
          </w:p>
        </w:tc>
      </w:tr>
    </w:tbl>
    <w:p w14:paraId="16AAEB50" w14:textId="77777777" w:rsidR="00EA1BB1" w:rsidRDefault="00EA1BB1" w:rsidP="000A14DA">
      <w:pPr>
        <w:spacing w:after="220"/>
        <w:jc w:val="left"/>
        <w:rPr>
          <w:rFonts w:ascii="Arial" w:eastAsia="PMingLiU" w:hAnsi="Arial" w:cs="Arial"/>
          <w:b/>
          <w:szCs w:val="22"/>
          <w:lang w:val="en-US"/>
        </w:rPr>
      </w:pPr>
    </w:p>
    <w:p w14:paraId="361228F1" w14:textId="77777777" w:rsidR="00EA1BB1" w:rsidRPr="00B95FD3" w:rsidRDefault="00EA1BB1" w:rsidP="000A14DA">
      <w:pPr>
        <w:pStyle w:val="ITISHeading1"/>
        <w:rPr>
          <w:lang w:val="en-US"/>
        </w:rPr>
      </w:pPr>
      <w:bookmarkStart w:id="2" w:name="_Toc496429289"/>
      <w:r w:rsidRPr="00B95FD3">
        <w:rPr>
          <w:lang w:val="en-US"/>
        </w:rPr>
        <w:t>INTRODUCTION</w:t>
      </w:r>
      <w:bookmarkEnd w:id="2"/>
    </w:p>
    <w:p w14:paraId="1330AA29" w14:textId="6B9977A3" w:rsidR="00A931E5" w:rsidRPr="00A931E5" w:rsidRDefault="000A14DA" w:rsidP="000A14DA">
      <w:pPr>
        <w:pStyle w:val="ITISHeading1"/>
        <w:numPr>
          <w:ilvl w:val="0"/>
          <w:numId w:val="0"/>
        </w:numPr>
        <w:ind w:left="851"/>
        <w:rPr>
          <w:b w:val="0"/>
          <w:caps w:val="0"/>
          <w:szCs w:val="22"/>
          <w:lang w:val="en-GB"/>
        </w:rPr>
      </w:pPr>
      <w:bookmarkStart w:id="3" w:name="_Toc496429290"/>
      <w:r>
        <w:rPr>
          <w:b w:val="0"/>
          <w:caps w:val="0"/>
          <w:szCs w:val="22"/>
          <w:lang w:val="en-GB"/>
        </w:rPr>
        <w:t>An AP</w:t>
      </w:r>
      <w:r w:rsidR="00A931E5" w:rsidRPr="00A931E5">
        <w:rPr>
          <w:b w:val="0"/>
          <w:caps w:val="0"/>
          <w:szCs w:val="22"/>
          <w:lang w:val="en-GB"/>
        </w:rPr>
        <w:t xml:space="preserve">AC </w:t>
      </w:r>
      <w:r>
        <w:rPr>
          <w:b w:val="0"/>
          <w:caps w:val="0"/>
          <w:szCs w:val="22"/>
          <w:lang w:val="en-GB"/>
        </w:rPr>
        <w:t>Executive Committee member is elected by the AP</w:t>
      </w:r>
      <w:r w:rsidR="00A931E5" w:rsidRPr="00A931E5">
        <w:rPr>
          <w:b w:val="0"/>
          <w:caps w:val="0"/>
          <w:szCs w:val="22"/>
          <w:lang w:val="en-GB"/>
        </w:rPr>
        <w:t xml:space="preserve">AC General Assembly for a term of </w:t>
      </w:r>
      <w:r>
        <w:rPr>
          <w:b w:val="0"/>
          <w:caps w:val="0"/>
          <w:szCs w:val="22"/>
          <w:lang w:val="en-GB"/>
        </w:rPr>
        <w:t>three</w:t>
      </w:r>
      <w:r w:rsidR="00A931E5" w:rsidRPr="00A931E5">
        <w:rPr>
          <w:b w:val="0"/>
          <w:caps w:val="0"/>
          <w:szCs w:val="22"/>
          <w:lang w:val="en-GB"/>
        </w:rPr>
        <w:t xml:space="preserve"> years.  The term may be renewed for a further </w:t>
      </w:r>
      <w:r>
        <w:rPr>
          <w:b w:val="0"/>
          <w:caps w:val="0"/>
          <w:szCs w:val="22"/>
          <w:lang w:val="en-GB"/>
        </w:rPr>
        <w:t>three-</w:t>
      </w:r>
      <w:r w:rsidR="00A931E5" w:rsidRPr="00A931E5">
        <w:rPr>
          <w:b w:val="0"/>
          <w:caps w:val="0"/>
          <w:szCs w:val="22"/>
          <w:lang w:val="en-GB"/>
        </w:rPr>
        <w:t>year period s</w:t>
      </w:r>
      <w:r>
        <w:rPr>
          <w:b w:val="0"/>
          <w:caps w:val="0"/>
          <w:szCs w:val="22"/>
          <w:lang w:val="en-GB"/>
        </w:rPr>
        <w:t>ubject to re-election by the AP</w:t>
      </w:r>
      <w:r w:rsidR="00A931E5" w:rsidRPr="00A931E5">
        <w:rPr>
          <w:b w:val="0"/>
          <w:caps w:val="0"/>
          <w:szCs w:val="22"/>
          <w:lang w:val="en-GB"/>
        </w:rPr>
        <w:t>AC General Assembly.</w:t>
      </w:r>
    </w:p>
    <w:p w14:paraId="2FD09E4F" w14:textId="7A50EC73" w:rsidR="00A931E5" w:rsidRDefault="000A14DA" w:rsidP="000A14DA">
      <w:pPr>
        <w:pStyle w:val="ITISHeading1"/>
        <w:numPr>
          <w:ilvl w:val="0"/>
          <w:numId w:val="0"/>
        </w:numPr>
        <w:ind w:left="851"/>
        <w:rPr>
          <w:b w:val="0"/>
          <w:caps w:val="0"/>
          <w:szCs w:val="22"/>
          <w:lang w:val="en-GB"/>
        </w:rPr>
      </w:pPr>
      <w:r>
        <w:rPr>
          <w:b w:val="0"/>
          <w:caps w:val="0"/>
          <w:szCs w:val="22"/>
          <w:lang w:val="en-GB"/>
        </w:rPr>
        <w:t>The AP</w:t>
      </w:r>
      <w:r w:rsidR="00A931E5" w:rsidRPr="00A931E5">
        <w:rPr>
          <w:b w:val="0"/>
          <w:caps w:val="0"/>
          <w:szCs w:val="22"/>
          <w:lang w:val="en-GB"/>
        </w:rPr>
        <w:t xml:space="preserve">AC </w:t>
      </w:r>
      <w:r>
        <w:rPr>
          <w:b w:val="0"/>
          <w:caps w:val="0"/>
          <w:szCs w:val="22"/>
          <w:lang w:val="en-GB"/>
        </w:rPr>
        <w:t>Executive Committee</w:t>
      </w:r>
      <w:r w:rsidR="00A931E5" w:rsidRPr="00A931E5">
        <w:rPr>
          <w:b w:val="0"/>
          <w:caps w:val="0"/>
          <w:szCs w:val="22"/>
          <w:lang w:val="en-GB"/>
        </w:rPr>
        <w:t xml:space="preserve"> member reports to the General Assembly </w:t>
      </w:r>
      <w:r>
        <w:rPr>
          <w:b w:val="0"/>
          <w:caps w:val="0"/>
          <w:szCs w:val="22"/>
          <w:lang w:val="en-GB"/>
        </w:rPr>
        <w:t>for the effective pursuit of AP</w:t>
      </w:r>
      <w:r w:rsidR="00A931E5" w:rsidRPr="00A931E5">
        <w:rPr>
          <w:b w:val="0"/>
          <w:caps w:val="0"/>
          <w:szCs w:val="22"/>
          <w:lang w:val="en-GB"/>
        </w:rPr>
        <w:t>AC objectives, including impl</w:t>
      </w:r>
      <w:r>
        <w:rPr>
          <w:b w:val="0"/>
          <w:caps w:val="0"/>
          <w:szCs w:val="22"/>
          <w:lang w:val="en-GB"/>
        </w:rPr>
        <w:t>ementation of AP</w:t>
      </w:r>
      <w:r w:rsidR="00A931E5" w:rsidRPr="00A931E5">
        <w:rPr>
          <w:b w:val="0"/>
          <w:caps w:val="0"/>
          <w:szCs w:val="22"/>
          <w:lang w:val="en-GB"/>
        </w:rPr>
        <w:t>AC policy as directed by the General Assembly, and for day-to-day management of the Cooperation (including financial management) between the meetings of the General Assembly.</w:t>
      </w:r>
    </w:p>
    <w:p w14:paraId="2C1F3AD2" w14:textId="557999A0" w:rsidR="00A931E5" w:rsidRPr="000A14DA" w:rsidRDefault="00EA1BB1" w:rsidP="000A14DA">
      <w:pPr>
        <w:pStyle w:val="ITISHeading1"/>
        <w:tabs>
          <w:tab w:val="clear" w:pos="851"/>
        </w:tabs>
        <w:rPr>
          <w:lang w:val="en-GB"/>
        </w:rPr>
      </w:pPr>
      <w:r w:rsidRPr="00B95FD3">
        <w:rPr>
          <w:lang w:val="en-GB"/>
        </w:rPr>
        <w:t>ROLES AND RESPONSIBILITIES</w:t>
      </w:r>
      <w:bookmarkEnd w:id="3"/>
    </w:p>
    <w:p w14:paraId="4DDBAE31" w14:textId="05A83FC5" w:rsidR="00A931E5" w:rsidRDefault="000A14DA" w:rsidP="00233BAD">
      <w:pPr>
        <w:spacing w:after="220"/>
        <w:ind w:left="851"/>
        <w:rPr>
          <w:rFonts w:ascii="Arial" w:hAnsi="Arial" w:cs="Arial"/>
        </w:rPr>
      </w:pPr>
      <w:bookmarkStart w:id="4" w:name="_Toc496429291"/>
      <w:r>
        <w:rPr>
          <w:rFonts w:ascii="Arial" w:hAnsi="Arial" w:cs="Arial"/>
        </w:rPr>
        <w:t>The AP</w:t>
      </w:r>
      <w:r w:rsidR="00A931E5" w:rsidRPr="000A14DA">
        <w:rPr>
          <w:rFonts w:ascii="Arial" w:hAnsi="Arial" w:cs="Arial"/>
        </w:rPr>
        <w:t xml:space="preserve">AC </w:t>
      </w:r>
      <w:r>
        <w:rPr>
          <w:rFonts w:ascii="Arial" w:hAnsi="Arial" w:cs="Arial"/>
        </w:rPr>
        <w:t>Executive Committee</w:t>
      </w:r>
      <w:r w:rsidR="00A931E5" w:rsidRPr="000A14DA">
        <w:rPr>
          <w:rFonts w:ascii="Arial" w:hAnsi="Arial" w:cs="Arial"/>
        </w:rPr>
        <w:t xml:space="preserve"> is collectively responsible for the following:</w:t>
      </w:r>
    </w:p>
    <w:p w14:paraId="0D8973EA" w14:textId="40EE36BD" w:rsidR="00233BAD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 xml:space="preserve">to promote and pursue the objectives of APAC; </w:t>
      </w:r>
    </w:p>
    <w:p w14:paraId="6D30985E" w14:textId="33D9E58B" w:rsidR="00233BAD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 xml:space="preserve">to ensure coordination among APAC committees; </w:t>
      </w:r>
    </w:p>
    <w:p w14:paraId="7C524F79" w14:textId="0E103D85" w:rsidR="00233BAD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>to appoint and monitor the performance of the Secretary;</w:t>
      </w:r>
    </w:p>
    <w:p w14:paraId="7CBFC293" w14:textId="15E83036" w:rsidR="00233BAD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 xml:space="preserve">to coordinate the preparation of draft proposals concerning the policies of APAC; </w:t>
      </w:r>
    </w:p>
    <w:p w14:paraId="639877B6" w14:textId="2B8D2704" w:rsidR="00233BAD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 xml:space="preserve">to receive and discuss reports from APAC committees and working groups and prepare proposals for the APAC General Assembly arising from these reports; </w:t>
      </w:r>
    </w:p>
    <w:p w14:paraId="6B357A20" w14:textId="2C27BD33" w:rsidR="00233BAD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 xml:space="preserve">to review and, if considered appropriate, approve applications for Membership; </w:t>
      </w:r>
    </w:p>
    <w:p w14:paraId="7D9B04DF" w14:textId="25D8DA92" w:rsidR="00233BAD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>to review and, if considered appropriate recommend changes to conditions for how an organisation become a Member and ceases to be a member;</w:t>
      </w:r>
    </w:p>
    <w:p w14:paraId="3F16EAE7" w14:textId="11412A74" w:rsidR="00233BAD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 xml:space="preserve">to monitor and enforce compliance with the APAC Regulations and Codes </w:t>
      </w:r>
      <w:bookmarkStart w:id="5" w:name="_GoBack"/>
      <w:bookmarkEnd w:id="5"/>
      <w:r w:rsidRPr="00233BAD">
        <w:rPr>
          <w:rFonts w:ascii="Arial" w:hAnsi="Arial" w:cs="Arial"/>
        </w:rPr>
        <w:t>by Members and Affiliates;</w:t>
      </w:r>
    </w:p>
    <w:p w14:paraId="6D3E7E8D" w14:textId="16F7B2D2" w:rsidR="00233BAD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>to decide the times and dates for meetings of the General Assembly and to set the agenda for those meetings;</w:t>
      </w:r>
    </w:p>
    <w:p w14:paraId="1189D0E0" w14:textId="49E98943" w:rsidR="00233BAD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>to exercise all the powers that APAC may have in General Assembly unless the Executive Committee’s power is limited by this Constitution, the APAC Regulations and Codes or by a decision of the General Assembly;</w:t>
      </w:r>
    </w:p>
    <w:p w14:paraId="6F1ED958" w14:textId="522CB398" w:rsidR="00233BAD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>to develop and maintain policy and procedures in connection with the control of funds and investment of APAC’s assets; and</w:t>
      </w:r>
    </w:p>
    <w:p w14:paraId="70C408BB" w14:textId="072C8309" w:rsidR="000A14DA" w:rsidRPr="00233BAD" w:rsidRDefault="00233BAD" w:rsidP="00233BAD">
      <w:pPr>
        <w:pStyle w:val="ListParagraph"/>
        <w:numPr>
          <w:ilvl w:val="0"/>
          <w:numId w:val="185"/>
        </w:numPr>
        <w:spacing w:after="220"/>
        <w:rPr>
          <w:rFonts w:ascii="Arial" w:hAnsi="Arial" w:cs="Arial"/>
        </w:rPr>
      </w:pPr>
      <w:r w:rsidRPr="00233BAD">
        <w:rPr>
          <w:rFonts w:ascii="Arial" w:hAnsi="Arial" w:cs="Arial"/>
        </w:rPr>
        <w:t>to ensure that all sources of funds are managed with due diligence and that costs are contained within budget limits.</w:t>
      </w:r>
    </w:p>
    <w:p w14:paraId="6B323CE0" w14:textId="32ED899D" w:rsidR="000A14DA" w:rsidRPr="000A14DA" w:rsidRDefault="000A14DA" w:rsidP="000A14DA">
      <w:pPr>
        <w:spacing w:after="220"/>
        <w:rPr>
          <w:rFonts w:ascii="Arial" w:hAnsi="Arial" w:cs="Arial"/>
        </w:rPr>
      </w:pPr>
    </w:p>
    <w:p w14:paraId="6FAEF2D3" w14:textId="627D0440" w:rsidR="00EA1BB1" w:rsidRPr="003F4AC8" w:rsidRDefault="00A931E5" w:rsidP="000A14DA">
      <w:pPr>
        <w:pStyle w:val="ITISHeading1"/>
        <w:rPr>
          <w:lang w:val="en-US"/>
        </w:rPr>
      </w:pPr>
      <w:r w:rsidRPr="00A931E5">
        <w:rPr>
          <w:rFonts w:eastAsia="Times New Roman"/>
          <w:b w:val="0"/>
          <w:caps w:val="0"/>
          <w:szCs w:val="22"/>
          <w:lang w:eastAsia="en-AU"/>
        </w:rPr>
        <w:lastRenderedPageBreak/>
        <w:t> </w:t>
      </w:r>
      <w:r w:rsidR="00EA1BB1" w:rsidRPr="00B95FD3">
        <w:rPr>
          <w:lang w:val="en-US"/>
        </w:rPr>
        <w:t>KEY POSITION ACTIVITIES</w:t>
      </w:r>
      <w:bookmarkEnd w:id="4"/>
      <w:r w:rsidR="00EA1BB1" w:rsidRPr="00B95FD3">
        <w:rPr>
          <w:lang w:val="en-US"/>
        </w:rPr>
        <w:t xml:space="preserve"> </w:t>
      </w:r>
    </w:p>
    <w:tbl>
      <w:tblPr>
        <w:tblStyle w:val="TableGrid4"/>
        <w:tblW w:w="0" w:type="auto"/>
        <w:tblInd w:w="959" w:type="dxa"/>
        <w:tblLook w:val="04A0" w:firstRow="1" w:lastRow="0" w:firstColumn="1" w:lastColumn="0" w:noHBand="0" w:noVBand="1"/>
      </w:tblPr>
      <w:tblGrid>
        <w:gridCol w:w="3827"/>
        <w:gridCol w:w="2268"/>
        <w:gridCol w:w="1666"/>
      </w:tblGrid>
      <w:tr w:rsidR="00A931E5" w:rsidRPr="00A931E5" w14:paraId="7E22F4CC" w14:textId="77777777" w:rsidTr="009A130F">
        <w:trPr>
          <w:trHeight w:val="454"/>
          <w:tblHeader/>
        </w:trPr>
        <w:tc>
          <w:tcPr>
            <w:tcW w:w="3827" w:type="dxa"/>
            <w:vAlign w:val="center"/>
          </w:tcPr>
          <w:p w14:paraId="347BA592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A931E5">
              <w:rPr>
                <w:rFonts w:ascii="Arial" w:hAnsi="Arial" w:cs="Arial"/>
                <w:b/>
                <w:lang w:val="en-US"/>
              </w:rPr>
              <w:t>Activity</w:t>
            </w:r>
          </w:p>
        </w:tc>
        <w:tc>
          <w:tcPr>
            <w:tcW w:w="2268" w:type="dxa"/>
            <w:vAlign w:val="center"/>
          </w:tcPr>
          <w:p w14:paraId="068BADC1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A931E5">
              <w:rPr>
                <w:rFonts w:ascii="Arial" w:hAnsi="Arial" w:cs="Arial"/>
                <w:b/>
                <w:lang w:val="en-US"/>
              </w:rPr>
              <w:t xml:space="preserve">Time Commitment </w:t>
            </w:r>
          </w:p>
        </w:tc>
        <w:tc>
          <w:tcPr>
            <w:tcW w:w="1666" w:type="dxa"/>
            <w:vAlign w:val="center"/>
          </w:tcPr>
          <w:p w14:paraId="3795852E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b/>
                <w:lang w:val="en-US"/>
              </w:rPr>
            </w:pPr>
            <w:r w:rsidRPr="00A931E5">
              <w:rPr>
                <w:rFonts w:ascii="Arial" w:hAnsi="Arial" w:cs="Arial"/>
                <w:b/>
                <w:lang w:val="en-US"/>
              </w:rPr>
              <w:t xml:space="preserve">Frequency </w:t>
            </w:r>
          </w:p>
        </w:tc>
      </w:tr>
      <w:tr w:rsidR="00A931E5" w:rsidRPr="00A931E5" w14:paraId="564FCEF8" w14:textId="77777777" w:rsidTr="009A130F">
        <w:trPr>
          <w:trHeight w:val="454"/>
        </w:trPr>
        <w:tc>
          <w:tcPr>
            <w:tcW w:w="3827" w:type="dxa"/>
            <w:vAlign w:val="center"/>
          </w:tcPr>
          <w:p w14:paraId="1E163411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/>
                <w:lang w:val="en-US" w:eastAsia="zh-TW"/>
              </w:rPr>
              <w:t>D</w:t>
            </w:r>
            <w:r w:rsidRPr="00A931E5">
              <w:rPr>
                <w:rFonts w:ascii="Arial" w:hAnsi="Arial" w:cs="Arial" w:hint="eastAsia"/>
                <w:lang w:val="en-US" w:eastAsia="zh-TW"/>
              </w:rPr>
              <w:t>ealing with miscellaneous issues</w:t>
            </w:r>
          </w:p>
        </w:tc>
        <w:tc>
          <w:tcPr>
            <w:tcW w:w="2268" w:type="dxa"/>
            <w:vAlign w:val="center"/>
          </w:tcPr>
          <w:p w14:paraId="54D830B0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 w:hint="eastAsia"/>
                <w:lang w:val="en-US" w:eastAsia="zh-TW"/>
              </w:rPr>
              <w:t>2 hours</w:t>
            </w:r>
          </w:p>
        </w:tc>
        <w:tc>
          <w:tcPr>
            <w:tcW w:w="1666" w:type="dxa"/>
            <w:vAlign w:val="center"/>
          </w:tcPr>
          <w:p w14:paraId="04D0B8D7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 w:hint="eastAsia"/>
                <w:lang w:val="en-US" w:eastAsia="zh-TW"/>
              </w:rPr>
              <w:t>Weekly</w:t>
            </w:r>
          </w:p>
        </w:tc>
      </w:tr>
      <w:tr w:rsidR="00A931E5" w:rsidRPr="00A931E5" w14:paraId="53C3CE6E" w14:textId="77777777" w:rsidTr="009A130F">
        <w:trPr>
          <w:trHeight w:val="454"/>
        </w:trPr>
        <w:tc>
          <w:tcPr>
            <w:tcW w:w="3827" w:type="dxa"/>
            <w:vAlign w:val="center"/>
          </w:tcPr>
          <w:p w14:paraId="4EC3E925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 w:hint="eastAsia"/>
                <w:lang w:val="en-US" w:eastAsia="zh-TW"/>
              </w:rPr>
              <w:t>Review of application for membership</w:t>
            </w:r>
          </w:p>
        </w:tc>
        <w:tc>
          <w:tcPr>
            <w:tcW w:w="2268" w:type="dxa"/>
            <w:vAlign w:val="center"/>
          </w:tcPr>
          <w:p w14:paraId="4CD3FD3E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 w:hint="eastAsia"/>
                <w:lang w:val="en-US" w:eastAsia="zh-TW"/>
              </w:rPr>
              <w:t>2 hours</w:t>
            </w:r>
          </w:p>
        </w:tc>
        <w:tc>
          <w:tcPr>
            <w:tcW w:w="1666" w:type="dxa"/>
            <w:vAlign w:val="center"/>
          </w:tcPr>
          <w:p w14:paraId="7BA71454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 w:hint="eastAsia"/>
                <w:lang w:val="en-US" w:eastAsia="zh-TW"/>
              </w:rPr>
              <w:t>Half-yearly</w:t>
            </w:r>
          </w:p>
        </w:tc>
      </w:tr>
      <w:tr w:rsidR="00A931E5" w:rsidRPr="00A931E5" w14:paraId="077C3E9C" w14:textId="77777777" w:rsidTr="009A130F">
        <w:trPr>
          <w:trHeight w:val="454"/>
        </w:trPr>
        <w:tc>
          <w:tcPr>
            <w:tcW w:w="3827" w:type="dxa"/>
            <w:vAlign w:val="center"/>
          </w:tcPr>
          <w:p w14:paraId="19D32BCD" w14:textId="4EFF0E28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/>
                <w:lang w:val="en-US" w:eastAsia="zh-TW"/>
              </w:rPr>
              <w:t>P</w:t>
            </w:r>
            <w:r w:rsidRPr="00A931E5">
              <w:rPr>
                <w:rFonts w:ascii="Arial" w:hAnsi="Arial" w:cs="Arial" w:hint="eastAsia"/>
                <w:lang w:val="en-US" w:eastAsia="zh-TW"/>
              </w:rPr>
              <w:t xml:space="preserve">reparing for </w:t>
            </w:r>
            <w:r w:rsidR="009A130F">
              <w:rPr>
                <w:rFonts w:ascii="Arial" w:hAnsi="Arial" w:cs="Arial"/>
                <w:lang w:val="en-US" w:eastAsia="zh-TW"/>
              </w:rPr>
              <w:t>Executive Committee</w:t>
            </w:r>
            <w:r w:rsidRPr="00A931E5">
              <w:rPr>
                <w:rFonts w:ascii="Arial" w:hAnsi="Arial" w:cs="Arial" w:hint="eastAsia"/>
                <w:lang w:val="en-US" w:eastAsia="zh-TW"/>
              </w:rPr>
              <w:t xml:space="preserve"> meetings</w:t>
            </w:r>
          </w:p>
        </w:tc>
        <w:tc>
          <w:tcPr>
            <w:tcW w:w="2268" w:type="dxa"/>
            <w:vAlign w:val="center"/>
          </w:tcPr>
          <w:p w14:paraId="55442925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 w:hint="eastAsia"/>
                <w:lang w:val="en-US" w:eastAsia="zh-TW"/>
              </w:rPr>
              <w:t>2 days</w:t>
            </w:r>
          </w:p>
        </w:tc>
        <w:tc>
          <w:tcPr>
            <w:tcW w:w="1666" w:type="dxa"/>
            <w:vAlign w:val="center"/>
          </w:tcPr>
          <w:p w14:paraId="32EB49D5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 w:hint="eastAsia"/>
                <w:lang w:val="en-US" w:eastAsia="zh-TW"/>
              </w:rPr>
              <w:t>Half-yearly</w:t>
            </w:r>
          </w:p>
        </w:tc>
      </w:tr>
      <w:tr w:rsidR="00A931E5" w:rsidRPr="00A931E5" w14:paraId="5E470839" w14:textId="77777777" w:rsidTr="009A130F">
        <w:trPr>
          <w:trHeight w:val="454"/>
        </w:trPr>
        <w:tc>
          <w:tcPr>
            <w:tcW w:w="3827" w:type="dxa"/>
            <w:vAlign w:val="center"/>
          </w:tcPr>
          <w:p w14:paraId="447A8C10" w14:textId="317816FC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 w:hint="eastAsia"/>
                <w:lang w:val="en-US" w:eastAsia="zh-TW"/>
              </w:rPr>
              <w:t xml:space="preserve">Attending </w:t>
            </w:r>
            <w:r w:rsidR="009A130F">
              <w:rPr>
                <w:rFonts w:ascii="Arial" w:hAnsi="Arial" w:cs="Arial"/>
                <w:lang w:val="en-US" w:eastAsia="zh-TW"/>
              </w:rPr>
              <w:t>Executive Committee</w:t>
            </w:r>
            <w:r w:rsidRPr="00A931E5">
              <w:rPr>
                <w:rFonts w:ascii="Arial" w:hAnsi="Arial" w:cs="Arial" w:hint="eastAsia"/>
                <w:lang w:val="en-US" w:eastAsia="zh-TW"/>
              </w:rPr>
              <w:t xml:space="preserve"> meetings</w:t>
            </w:r>
          </w:p>
        </w:tc>
        <w:tc>
          <w:tcPr>
            <w:tcW w:w="2268" w:type="dxa"/>
            <w:vAlign w:val="center"/>
          </w:tcPr>
          <w:p w14:paraId="2C5C0DCB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 w:hint="eastAsia"/>
                <w:lang w:val="en-US" w:eastAsia="zh-TW"/>
              </w:rPr>
              <w:t>2 days</w:t>
            </w:r>
          </w:p>
        </w:tc>
        <w:tc>
          <w:tcPr>
            <w:tcW w:w="1666" w:type="dxa"/>
            <w:vAlign w:val="center"/>
          </w:tcPr>
          <w:p w14:paraId="6289DF43" w14:textId="77777777" w:rsidR="00A931E5" w:rsidRPr="00A931E5" w:rsidRDefault="00A931E5" w:rsidP="000A14DA">
            <w:pPr>
              <w:spacing w:after="220"/>
              <w:jc w:val="left"/>
              <w:rPr>
                <w:rFonts w:ascii="Arial" w:hAnsi="Arial" w:cs="Arial"/>
                <w:lang w:val="en-US" w:eastAsia="zh-TW"/>
              </w:rPr>
            </w:pPr>
            <w:r w:rsidRPr="00A931E5">
              <w:rPr>
                <w:rFonts w:ascii="Arial" w:hAnsi="Arial" w:cs="Arial" w:hint="eastAsia"/>
                <w:lang w:val="en-US" w:eastAsia="zh-TW"/>
              </w:rPr>
              <w:t>Half-yearly</w:t>
            </w:r>
          </w:p>
        </w:tc>
      </w:tr>
    </w:tbl>
    <w:p w14:paraId="18309167" w14:textId="320C6C84" w:rsidR="00EA1BB1" w:rsidRPr="00B95FD3" w:rsidRDefault="00EA1BB1" w:rsidP="000A14DA">
      <w:pPr>
        <w:spacing w:after="220"/>
        <w:jc w:val="left"/>
        <w:rPr>
          <w:rFonts w:ascii="Arial" w:eastAsia="Times New Roman" w:hAnsi="Arial"/>
          <w:szCs w:val="22"/>
          <w:lang w:val="en-US" w:eastAsia="en-AU"/>
        </w:rPr>
      </w:pPr>
    </w:p>
    <w:p w14:paraId="1A46ED0B" w14:textId="77777777" w:rsidR="00EA1BB1" w:rsidRPr="003F4AC8" w:rsidRDefault="00EA1BB1" w:rsidP="000A14DA">
      <w:pPr>
        <w:pStyle w:val="ITISHeading1"/>
        <w:rPr>
          <w:lang w:val="en-US" w:eastAsia="en-AU"/>
        </w:rPr>
      </w:pPr>
      <w:bookmarkStart w:id="6" w:name="_Toc496429292"/>
      <w:r w:rsidRPr="00B95FD3">
        <w:rPr>
          <w:lang w:val="en-US" w:eastAsia="en-AU"/>
        </w:rPr>
        <w:t>AMENDMENT TABLE</w:t>
      </w:r>
      <w:bookmarkEnd w:id="6"/>
    </w:p>
    <w:p w14:paraId="2E00838F" w14:textId="77777777" w:rsidR="00EA1BB1" w:rsidRPr="00810FF6" w:rsidRDefault="00EA1BB1" w:rsidP="000A14DA">
      <w:pPr>
        <w:spacing w:after="220"/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  <w:r w:rsidRPr="00810FF6">
        <w:rPr>
          <w:rFonts w:ascii="Arial" w:eastAsia="Times New Roman" w:hAnsi="Arial"/>
          <w:szCs w:val="22"/>
          <w:lang w:val="en-US" w:eastAsia="en-AU"/>
        </w:rPr>
        <w:t>This table provides a summary of the changes to the document with this issue.</w:t>
      </w:r>
    </w:p>
    <w:tbl>
      <w:tblPr>
        <w:tblStyle w:val="TableGrid1"/>
        <w:tblW w:w="7654" w:type="dxa"/>
        <w:tblInd w:w="959" w:type="dxa"/>
        <w:tblLook w:val="04A0" w:firstRow="1" w:lastRow="0" w:firstColumn="1" w:lastColumn="0" w:noHBand="0" w:noVBand="1"/>
      </w:tblPr>
      <w:tblGrid>
        <w:gridCol w:w="2977"/>
        <w:gridCol w:w="4677"/>
      </w:tblGrid>
      <w:tr w:rsidR="00EA1BB1" w:rsidRPr="00810FF6" w14:paraId="0B506E33" w14:textId="77777777" w:rsidTr="00E45B1E">
        <w:tc>
          <w:tcPr>
            <w:tcW w:w="2977" w:type="dxa"/>
          </w:tcPr>
          <w:p w14:paraId="64C3C024" w14:textId="77777777" w:rsidR="00EA1BB1" w:rsidRPr="00810FF6" w:rsidRDefault="00EA1BB1" w:rsidP="000A14DA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b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b/>
                <w:szCs w:val="22"/>
                <w:lang w:val="en-US" w:eastAsia="en-AU"/>
              </w:rPr>
              <w:t>Section(s)</w:t>
            </w:r>
          </w:p>
        </w:tc>
        <w:tc>
          <w:tcPr>
            <w:tcW w:w="4677" w:type="dxa"/>
          </w:tcPr>
          <w:p w14:paraId="44AF11F3" w14:textId="77777777" w:rsidR="00EA1BB1" w:rsidRPr="00810FF6" w:rsidRDefault="00EA1BB1" w:rsidP="000A14DA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b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b/>
                <w:szCs w:val="22"/>
                <w:lang w:val="en-US" w:eastAsia="en-AU"/>
              </w:rPr>
              <w:t>Amendment(s)</w:t>
            </w:r>
          </w:p>
        </w:tc>
      </w:tr>
      <w:tr w:rsidR="00EA1BB1" w:rsidRPr="00810FF6" w14:paraId="0A38A948" w14:textId="77777777" w:rsidTr="00E45B1E">
        <w:tc>
          <w:tcPr>
            <w:tcW w:w="2977" w:type="dxa"/>
          </w:tcPr>
          <w:p w14:paraId="27A0429E" w14:textId="77777777" w:rsidR="00EA1BB1" w:rsidRPr="00810FF6" w:rsidRDefault="00EA1BB1" w:rsidP="000A14DA">
            <w:pPr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>All</w:t>
            </w:r>
          </w:p>
        </w:tc>
        <w:tc>
          <w:tcPr>
            <w:tcW w:w="4677" w:type="dxa"/>
          </w:tcPr>
          <w:p w14:paraId="4A2861B1" w14:textId="738BD8EA" w:rsidR="00EA1BB1" w:rsidRPr="00810FF6" w:rsidRDefault="00EA1BB1" w:rsidP="000A14DA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 xml:space="preserve">New issue on establishment of APAC.  Document based upon </w:t>
            </w:r>
            <w:r w:rsidR="00F95351">
              <w:rPr>
                <w:rFonts w:ascii="Arial" w:hAnsi="Arial"/>
                <w:szCs w:val="22"/>
                <w:lang w:val="en-US" w:eastAsia="en-AU"/>
              </w:rPr>
              <w:t xml:space="preserve">APAC Constitution and </w:t>
            </w:r>
            <w:r w:rsidR="00A931E5">
              <w:rPr>
                <w:rFonts w:ascii="Arial" w:hAnsi="Arial"/>
                <w:szCs w:val="22"/>
                <w:lang w:val="en-US" w:eastAsia="en-AU"/>
              </w:rPr>
              <w:t>APLAC SEC 061</w:t>
            </w:r>
            <w:r>
              <w:rPr>
                <w:rFonts w:ascii="Arial" w:hAnsi="Arial"/>
                <w:szCs w:val="22"/>
                <w:lang w:val="en-US" w:eastAsia="en-AU"/>
              </w:rPr>
              <w:t xml:space="preserve"> Issue No 1.</w:t>
            </w:r>
          </w:p>
        </w:tc>
      </w:tr>
      <w:tr w:rsidR="00EA1BB1" w:rsidRPr="00810FF6" w14:paraId="0F032E28" w14:textId="77777777" w:rsidTr="00E45B1E">
        <w:tc>
          <w:tcPr>
            <w:tcW w:w="2977" w:type="dxa"/>
          </w:tcPr>
          <w:p w14:paraId="3AC2EACD" w14:textId="77777777" w:rsidR="00EA1BB1" w:rsidRPr="00810FF6" w:rsidRDefault="00EA1BB1" w:rsidP="000A14DA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  <w:r w:rsidRPr="00810FF6">
              <w:rPr>
                <w:rFonts w:ascii="Arial" w:hAnsi="Arial"/>
                <w:szCs w:val="22"/>
                <w:lang w:val="en-US" w:eastAsia="en-AU"/>
              </w:rPr>
              <w:t>End</w:t>
            </w:r>
          </w:p>
        </w:tc>
        <w:tc>
          <w:tcPr>
            <w:tcW w:w="4677" w:type="dxa"/>
          </w:tcPr>
          <w:p w14:paraId="62B6846D" w14:textId="77777777" w:rsidR="00EA1BB1" w:rsidRPr="00810FF6" w:rsidRDefault="00EA1BB1" w:rsidP="000A14DA">
            <w:pPr>
              <w:tabs>
                <w:tab w:val="left" w:pos="1080"/>
                <w:tab w:val="left" w:pos="1276"/>
              </w:tabs>
              <w:spacing w:after="220"/>
              <w:ind w:left="851"/>
              <w:jc w:val="left"/>
              <w:rPr>
                <w:rFonts w:ascii="Arial" w:hAnsi="Arial"/>
                <w:szCs w:val="22"/>
                <w:lang w:val="en-US" w:eastAsia="en-AU"/>
              </w:rPr>
            </w:pPr>
          </w:p>
        </w:tc>
      </w:tr>
    </w:tbl>
    <w:p w14:paraId="080E5EDF" w14:textId="77777777" w:rsidR="00EA1BB1" w:rsidRPr="00810FF6" w:rsidRDefault="00EA1BB1" w:rsidP="00EA1BB1">
      <w:pPr>
        <w:tabs>
          <w:tab w:val="left" w:pos="1080"/>
          <w:tab w:val="left" w:pos="1276"/>
        </w:tabs>
        <w:spacing w:after="220"/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</w:p>
    <w:p w14:paraId="2A5A362E" w14:textId="77777777" w:rsidR="00EA1BB1" w:rsidRPr="008A2DCE" w:rsidRDefault="00EA1BB1" w:rsidP="00EA1BB1">
      <w:pPr>
        <w:spacing w:after="220"/>
        <w:rPr>
          <w:rFonts w:ascii="Arial" w:hAnsi="Arial" w:cs="Arial"/>
          <w:szCs w:val="24"/>
        </w:rPr>
      </w:pPr>
    </w:p>
    <w:p w14:paraId="4C3A4EA7" w14:textId="25FB8B97" w:rsidR="00100CEA" w:rsidRDefault="00100CEA" w:rsidP="00E67F1D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sectPr w:rsidR="00100CEA" w:rsidSect="00DF7B21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1909" w:h="16834" w:code="9"/>
      <w:pgMar w:top="720" w:right="1440" w:bottom="720" w:left="1440" w:header="283" w:footer="57" w:gutter="0"/>
      <w:paperSrc w:first="15" w:other="1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C24CD" w14:textId="77777777" w:rsidR="007702FE" w:rsidRDefault="007702FE">
      <w:r>
        <w:separator/>
      </w:r>
    </w:p>
  </w:endnote>
  <w:endnote w:type="continuationSeparator" w:id="0">
    <w:p w14:paraId="00D49422" w14:textId="77777777" w:rsidR="007702FE" w:rsidRDefault="007702FE">
      <w:r>
        <w:continuationSeparator/>
      </w:r>
    </w:p>
  </w:endnote>
  <w:endnote w:type="continuationNotice" w:id="1">
    <w:p w14:paraId="17C97703" w14:textId="0214C26B" w:rsidR="007702FE" w:rsidRPr="00380812" w:rsidRDefault="007702FE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79C3212" wp14:editId="5E39A90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E692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 w:rsidR="00691F66"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26E76F0E" w14:textId="77777777" w:rsidR="007702FE" w:rsidRPr="00CF2B53" w:rsidRDefault="007702FE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E67F1D">
            <w:pPr>
              <w:pStyle w:val="Footer"/>
              <w:pBdr>
                <w:top w:val="single" w:sz="4" w:space="0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51"/>
              <w:gridCol w:w="3147"/>
              <w:gridCol w:w="3047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68F96505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1</w:t>
                  </w:r>
                  <w:r w:rsidR="00D92B9D">
                    <w:rPr>
                      <w:sz w:val="20"/>
                    </w:rPr>
                    <w:t xml:space="preserve"> (Ver 1.0)</w:t>
                  </w:r>
                </w:p>
              </w:tc>
              <w:tc>
                <w:tcPr>
                  <w:tcW w:w="4667" w:type="dxa"/>
                </w:tcPr>
                <w:p w14:paraId="7F504E9E" w14:textId="0542587C" w:rsidR="006535D3" w:rsidRDefault="006535D3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1 January 2019</w:t>
                  </w:r>
                </w:p>
              </w:tc>
              <w:tc>
                <w:tcPr>
                  <w:tcW w:w="4667" w:type="dxa"/>
                </w:tcPr>
                <w:p w14:paraId="46E4F451" w14:textId="359D8605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95375A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95375A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D92B9D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2FB1783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691F66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92DD7" w14:textId="77777777" w:rsidR="007702FE" w:rsidRDefault="007702FE">
      <w:r>
        <w:separator/>
      </w:r>
    </w:p>
  </w:footnote>
  <w:footnote w:type="continuationSeparator" w:id="0">
    <w:p w14:paraId="64BE9095" w14:textId="77777777" w:rsidR="007702FE" w:rsidRDefault="00770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66BA4A97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21D8E">
      <w:rPr>
        <w:i/>
        <w:color w:val="365F91" w:themeColor="accent1" w:themeShade="BF"/>
        <w:sz w:val="24"/>
        <w:szCs w:val="24"/>
      </w:rPr>
      <w:t>F</w:t>
    </w:r>
    <w:r w:rsidR="008241E2">
      <w:rPr>
        <w:i/>
        <w:color w:val="365F91" w:themeColor="accent1" w:themeShade="BF"/>
        <w:sz w:val="24"/>
        <w:szCs w:val="24"/>
      </w:rPr>
      <w:t>PER</w:t>
    </w:r>
    <w:r w:rsidR="00621D8E">
      <w:rPr>
        <w:i/>
        <w:color w:val="365F91" w:themeColor="accent1" w:themeShade="BF"/>
        <w:sz w:val="24"/>
        <w:szCs w:val="24"/>
      </w:rPr>
      <w:t>-00</w:t>
    </w:r>
    <w:r w:rsidR="00A931E5">
      <w:rPr>
        <w:i/>
        <w:color w:val="365F91" w:themeColor="accent1" w:themeShade="BF"/>
        <w:sz w:val="24"/>
        <w:szCs w:val="24"/>
      </w:rPr>
      <w:t>3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r w:rsidR="008241E2">
      <w:rPr>
        <w:i/>
        <w:color w:val="365F91" w:themeColor="accent1" w:themeShade="BF"/>
        <w:sz w:val="24"/>
        <w:szCs w:val="24"/>
      </w:rPr>
      <w:t xml:space="preserve">Position Description </w:t>
    </w:r>
    <w:r w:rsidR="00EA1BB1">
      <w:rPr>
        <w:i/>
        <w:color w:val="365F91" w:themeColor="accent1" w:themeShade="BF"/>
        <w:sz w:val="24"/>
        <w:szCs w:val="24"/>
      </w:rPr>
      <w:t xml:space="preserve">APAC </w:t>
    </w:r>
    <w:r w:rsidR="00A931E5">
      <w:rPr>
        <w:i/>
        <w:color w:val="365F91" w:themeColor="accent1" w:themeShade="BF"/>
        <w:sz w:val="24"/>
        <w:szCs w:val="24"/>
      </w:rPr>
      <w:t>Executive Committee Member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7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7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7031D40"/>
    <w:multiLevelType w:val="hybridMultilevel"/>
    <w:tmpl w:val="CD5E2820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2A5823DB"/>
    <w:multiLevelType w:val="hybridMultilevel"/>
    <w:tmpl w:val="7A766A18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6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8" w15:restartNumberingAfterBreak="0">
    <w:nsid w:val="451F0210"/>
    <w:multiLevelType w:val="hybridMultilevel"/>
    <w:tmpl w:val="A9828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0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82757"/>
    <w:multiLevelType w:val="hybridMultilevel"/>
    <w:tmpl w:val="C9AA0F68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6C2F02EB"/>
    <w:multiLevelType w:val="hybridMultilevel"/>
    <w:tmpl w:val="20ACBF96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71550DB4"/>
    <w:multiLevelType w:val="hybridMultilevel"/>
    <w:tmpl w:val="B0BA7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6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7"/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9"/>
  </w:num>
  <w:num w:numId="33">
    <w:abstractNumId w:val="9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9"/>
  </w:num>
  <w:num w:numId="39">
    <w:abstractNumId w:val="9"/>
  </w:num>
  <w:num w:numId="40">
    <w:abstractNumId w:val="9"/>
  </w:num>
  <w:num w:numId="41">
    <w:abstractNumId w:val="9"/>
  </w:num>
  <w:num w:numId="42">
    <w:abstractNumId w:val="9"/>
  </w:num>
  <w:num w:numId="43">
    <w:abstractNumId w:val="9"/>
  </w:num>
  <w:num w:numId="44">
    <w:abstractNumId w:val="9"/>
  </w:num>
  <w:num w:numId="45">
    <w:abstractNumId w:val="9"/>
  </w:num>
  <w:num w:numId="46">
    <w:abstractNumId w:val="9"/>
  </w:num>
  <w:num w:numId="47">
    <w:abstractNumId w:val="9"/>
  </w:num>
  <w:num w:numId="48">
    <w:abstractNumId w:val="9"/>
  </w:num>
  <w:num w:numId="49">
    <w:abstractNumId w:val="9"/>
  </w:num>
  <w:num w:numId="50">
    <w:abstractNumId w:val="9"/>
  </w:num>
  <w:num w:numId="51">
    <w:abstractNumId w:val="9"/>
  </w:num>
  <w:num w:numId="52">
    <w:abstractNumId w:val="9"/>
  </w:num>
  <w:num w:numId="53">
    <w:abstractNumId w:val="9"/>
  </w:num>
  <w:num w:numId="54">
    <w:abstractNumId w:val="9"/>
  </w:num>
  <w:num w:numId="55">
    <w:abstractNumId w:val="9"/>
  </w:num>
  <w:num w:numId="56">
    <w:abstractNumId w:val="9"/>
  </w:num>
  <w:num w:numId="57">
    <w:abstractNumId w:val="9"/>
  </w:num>
  <w:num w:numId="58">
    <w:abstractNumId w:val="9"/>
  </w:num>
  <w:num w:numId="59">
    <w:abstractNumId w:val="9"/>
  </w:num>
  <w:num w:numId="60">
    <w:abstractNumId w:val="9"/>
  </w:num>
  <w:num w:numId="61">
    <w:abstractNumId w:val="9"/>
  </w:num>
  <w:num w:numId="62">
    <w:abstractNumId w:val="9"/>
  </w:num>
  <w:num w:numId="63">
    <w:abstractNumId w:val="9"/>
  </w:num>
  <w:num w:numId="64">
    <w:abstractNumId w:val="9"/>
  </w:num>
  <w:num w:numId="65">
    <w:abstractNumId w:val="9"/>
  </w:num>
  <w:num w:numId="66">
    <w:abstractNumId w:val="9"/>
  </w:num>
  <w:num w:numId="67">
    <w:abstractNumId w:val="9"/>
  </w:num>
  <w:num w:numId="68">
    <w:abstractNumId w:val="9"/>
  </w:num>
  <w:num w:numId="69">
    <w:abstractNumId w:val="9"/>
  </w:num>
  <w:num w:numId="70">
    <w:abstractNumId w:val="9"/>
  </w:num>
  <w:num w:numId="71">
    <w:abstractNumId w:val="9"/>
  </w:num>
  <w:num w:numId="72">
    <w:abstractNumId w:val="9"/>
  </w:num>
  <w:num w:numId="73">
    <w:abstractNumId w:val="9"/>
  </w:num>
  <w:num w:numId="74">
    <w:abstractNumId w:val="9"/>
  </w:num>
  <w:num w:numId="75">
    <w:abstractNumId w:val="9"/>
  </w:num>
  <w:num w:numId="76">
    <w:abstractNumId w:val="9"/>
  </w:num>
  <w:num w:numId="77">
    <w:abstractNumId w:val="9"/>
  </w:num>
  <w:num w:numId="78">
    <w:abstractNumId w:val="9"/>
  </w:num>
  <w:num w:numId="79">
    <w:abstractNumId w:val="9"/>
  </w:num>
  <w:num w:numId="80">
    <w:abstractNumId w:val="9"/>
  </w:num>
  <w:num w:numId="81">
    <w:abstractNumId w:val="9"/>
  </w:num>
  <w:num w:numId="82">
    <w:abstractNumId w:val="9"/>
  </w:num>
  <w:num w:numId="83">
    <w:abstractNumId w:val="9"/>
  </w:num>
  <w:num w:numId="84">
    <w:abstractNumId w:val="9"/>
  </w:num>
  <w:num w:numId="85">
    <w:abstractNumId w:val="9"/>
  </w:num>
  <w:num w:numId="86">
    <w:abstractNumId w:val="9"/>
  </w:num>
  <w:num w:numId="87">
    <w:abstractNumId w:val="9"/>
  </w:num>
  <w:num w:numId="88">
    <w:abstractNumId w:val="9"/>
  </w:num>
  <w:num w:numId="89">
    <w:abstractNumId w:val="9"/>
  </w:num>
  <w:num w:numId="90">
    <w:abstractNumId w:val="9"/>
  </w:num>
  <w:num w:numId="91">
    <w:abstractNumId w:val="9"/>
  </w:num>
  <w:num w:numId="92">
    <w:abstractNumId w:val="9"/>
  </w:num>
  <w:num w:numId="93">
    <w:abstractNumId w:val="9"/>
  </w:num>
  <w:num w:numId="94">
    <w:abstractNumId w:val="9"/>
  </w:num>
  <w:num w:numId="95">
    <w:abstractNumId w:val="9"/>
  </w:num>
  <w:num w:numId="96">
    <w:abstractNumId w:val="9"/>
  </w:num>
  <w:num w:numId="97">
    <w:abstractNumId w:val="9"/>
  </w:num>
  <w:num w:numId="98">
    <w:abstractNumId w:val="9"/>
  </w:num>
  <w:num w:numId="99">
    <w:abstractNumId w:val="9"/>
  </w:num>
  <w:num w:numId="100">
    <w:abstractNumId w:val="9"/>
  </w:num>
  <w:num w:numId="101">
    <w:abstractNumId w:val="9"/>
  </w:num>
  <w:num w:numId="102">
    <w:abstractNumId w:val="9"/>
  </w:num>
  <w:num w:numId="103">
    <w:abstractNumId w:val="9"/>
  </w:num>
  <w:num w:numId="104">
    <w:abstractNumId w:val="9"/>
  </w:num>
  <w:num w:numId="105">
    <w:abstractNumId w:val="9"/>
  </w:num>
  <w:num w:numId="106">
    <w:abstractNumId w:val="9"/>
  </w:num>
  <w:num w:numId="107">
    <w:abstractNumId w:val="9"/>
  </w:num>
  <w:num w:numId="108">
    <w:abstractNumId w:val="9"/>
  </w:num>
  <w:num w:numId="109">
    <w:abstractNumId w:val="9"/>
  </w:num>
  <w:num w:numId="110">
    <w:abstractNumId w:val="9"/>
  </w:num>
  <w:num w:numId="111">
    <w:abstractNumId w:val="9"/>
  </w:num>
  <w:num w:numId="112">
    <w:abstractNumId w:val="9"/>
  </w:num>
  <w:num w:numId="113">
    <w:abstractNumId w:val="9"/>
  </w:num>
  <w:num w:numId="114">
    <w:abstractNumId w:val="9"/>
  </w:num>
  <w:num w:numId="115">
    <w:abstractNumId w:val="9"/>
  </w:num>
  <w:num w:numId="116">
    <w:abstractNumId w:val="9"/>
  </w:num>
  <w:num w:numId="117">
    <w:abstractNumId w:val="9"/>
  </w:num>
  <w:num w:numId="118">
    <w:abstractNumId w:val="9"/>
  </w:num>
  <w:num w:numId="119">
    <w:abstractNumId w:val="9"/>
  </w:num>
  <w:num w:numId="120">
    <w:abstractNumId w:val="9"/>
  </w:num>
  <w:num w:numId="121">
    <w:abstractNumId w:val="9"/>
  </w:num>
  <w:num w:numId="122">
    <w:abstractNumId w:val="9"/>
  </w:num>
  <w:num w:numId="123">
    <w:abstractNumId w:val="9"/>
  </w:num>
  <w:num w:numId="124">
    <w:abstractNumId w:val="9"/>
  </w:num>
  <w:num w:numId="125">
    <w:abstractNumId w:val="9"/>
  </w:num>
  <w:num w:numId="126">
    <w:abstractNumId w:val="9"/>
  </w:num>
  <w:num w:numId="127">
    <w:abstractNumId w:val="9"/>
  </w:num>
  <w:num w:numId="128">
    <w:abstractNumId w:val="9"/>
  </w:num>
  <w:num w:numId="129">
    <w:abstractNumId w:val="9"/>
  </w:num>
  <w:num w:numId="130">
    <w:abstractNumId w:val="9"/>
  </w:num>
  <w:num w:numId="131">
    <w:abstractNumId w:val="9"/>
  </w:num>
  <w:num w:numId="132">
    <w:abstractNumId w:val="9"/>
  </w:num>
  <w:num w:numId="133">
    <w:abstractNumId w:val="9"/>
  </w:num>
  <w:num w:numId="134">
    <w:abstractNumId w:val="9"/>
  </w:num>
  <w:num w:numId="135">
    <w:abstractNumId w:val="9"/>
  </w:num>
  <w:num w:numId="136">
    <w:abstractNumId w:val="9"/>
  </w:num>
  <w:num w:numId="137">
    <w:abstractNumId w:val="9"/>
  </w:num>
  <w:num w:numId="138">
    <w:abstractNumId w:val="9"/>
  </w:num>
  <w:num w:numId="139">
    <w:abstractNumId w:val="9"/>
  </w:num>
  <w:num w:numId="140">
    <w:abstractNumId w:val="9"/>
  </w:num>
  <w:num w:numId="141">
    <w:abstractNumId w:val="9"/>
  </w:num>
  <w:num w:numId="142">
    <w:abstractNumId w:val="9"/>
  </w:num>
  <w:num w:numId="143">
    <w:abstractNumId w:val="9"/>
  </w:num>
  <w:num w:numId="144">
    <w:abstractNumId w:val="9"/>
  </w:num>
  <w:num w:numId="145">
    <w:abstractNumId w:val="9"/>
  </w:num>
  <w:num w:numId="146">
    <w:abstractNumId w:val="9"/>
  </w:num>
  <w:num w:numId="147">
    <w:abstractNumId w:val="9"/>
  </w:num>
  <w:num w:numId="148">
    <w:abstractNumId w:val="9"/>
  </w:num>
  <w:num w:numId="149">
    <w:abstractNumId w:val="9"/>
  </w:num>
  <w:num w:numId="150">
    <w:abstractNumId w:val="9"/>
  </w:num>
  <w:num w:numId="151">
    <w:abstractNumId w:val="9"/>
  </w:num>
  <w:num w:numId="152">
    <w:abstractNumId w:val="9"/>
  </w:num>
  <w:num w:numId="153">
    <w:abstractNumId w:val="9"/>
  </w:num>
  <w:num w:numId="154">
    <w:abstractNumId w:val="9"/>
  </w:num>
  <w:num w:numId="155">
    <w:abstractNumId w:val="9"/>
  </w:num>
  <w:num w:numId="156">
    <w:abstractNumId w:val="9"/>
  </w:num>
  <w:num w:numId="157">
    <w:abstractNumId w:val="9"/>
  </w:num>
  <w:num w:numId="158">
    <w:abstractNumId w:val="9"/>
  </w:num>
  <w:num w:numId="159">
    <w:abstractNumId w:val="9"/>
  </w:num>
  <w:num w:numId="160">
    <w:abstractNumId w:val="9"/>
  </w:num>
  <w:num w:numId="161">
    <w:abstractNumId w:val="9"/>
  </w:num>
  <w:num w:numId="162">
    <w:abstractNumId w:val="9"/>
  </w:num>
  <w:num w:numId="163">
    <w:abstractNumId w:val="9"/>
  </w:num>
  <w:num w:numId="164">
    <w:abstractNumId w:val="9"/>
  </w:num>
  <w:num w:numId="165">
    <w:abstractNumId w:val="9"/>
  </w:num>
  <w:num w:numId="166">
    <w:abstractNumId w:val="9"/>
  </w:num>
  <w:num w:numId="167">
    <w:abstractNumId w:val="9"/>
  </w:num>
  <w:num w:numId="168">
    <w:abstractNumId w:val="9"/>
  </w:num>
  <w:num w:numId="169">
    <w:abstractNumId w:val="9"/>
  </w:num>
  <w:num w:numId="170">
    <w:abstractNumId w:val="9"/>
  </w:num>
  <w:num w:numId="171">
    <w:abstractNumId w:val="9"/>
  </w:num>
  <w:num w:numId="172">
    <w:abstractNumId w:val="11"/>
  </w:num>
  <w:num w:numId="173">
    <w:abstractNumId w:val="9"/>
  </w:num>
  <w:num w:numId="174">
    <w:abstractNumId w:val="9"/>
  </w:num>
  <w:num w:numId="175">
    <w:abstractNumId w:val="9"/>
  </w:num>
  <w:num w:numId="176">
    <w:abstractNumId w:val="9"/>
  </w:num>
  <w:num w:numId="177">
    <w:abstractNumId w:val="9"/>
  </w:num>
  <w:num w:numId="178">
    <w:abstractNumId w:val="9"/>
  </w:num>
  <w:num w:numId="179">
    <w:abstractNumId w:val="9"/>
  </w:num>
  <w:num w:numId="180">
    <w:abstractNumId w:val="4"/>
  </w:num>
  <w:num w:numId="181">
    <w:abstractNumId w:val="12"/>
  </w:num>
  <w:num w:numId="182">
    <w:abstractNumId w:val="2"/>
  </w:num>
  <w:num w:numId="183">
    <w:abstractNumId w:val="14"/>
  </w:num>
  <w:num w:numId="184">
    <w:abstractNumId w:val="8"/>
  </w:num>
  <w:num w:numId="185">
    <w:abstractNumId w:val="13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21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1FEB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14DA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5EE9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3BAD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1EE3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49AD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87E3D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844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4968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1F66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2596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1EE5"/>
    <w:rsid w:val="00812110"/>
    <w:rsid w:val="00814D49"/>
    <w:rsid w:val="0081509B"/>
    <w:rsid w:val="008162DE"/>
    <w:rsid w:val="008211C4"/>
    <w:rsid w:val="00821BAD"/>
    <w:rsid w:val="008241E2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180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75A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30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1E5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2B9D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DF7B21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67F1D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B1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25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5351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A1BB1"/>
    <w:rPr>
      <w:rFonts w:ascii="Calibri" w:eastAsia="PMingLiU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1BB1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487E3D"/>
    <w:rPr>
      <w:rFonts w:ascii="Calibri" w:eastAsia="PMingLiU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A931E5"/>
    <w:rPr>
      <w:rFonts w:ascii="Calibri" w:eastAsia="PMingLiU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601429-2D93-43DF-A13F-4B3A7E574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2577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2018-11-15T05:29:00Z</dcterms:created>
  <dcterms:modified xsi:type="dcterms:W3CDTF">2018-11-15T05:29:00Z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