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83D45" w14:textId="497D932B" w:rsidR="00A72F9B" w:rsidRDefault="00004315" w:rsidP="00E80761">
      <w:pPr>
        <w:tabs>
          <w:tab w:val="right" w:pos="9480"/>
        </w:tabs>
        <w:spacing w:after="220"/>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E80761">
      <w:pPr>
        <w:pStyle w:val="DocTitle"/>
        <w:spacing w:before="0" w:after="220" w:line="240" w:lineRule="auto"/>
        <w:rPr>
          <w:color w:val="365F91" w:themeColor="accent1" w:themeShade="BF"/>
        </w:rPr>
      </w:pPr>
    </w:p>
    <w:p w14:paraId="68B488FC" w14:textId="77777777" w:rsidR="00805F77" w:rsidRDefault="00805F77" w:rsidP="00E80761">
      <w:pPr>
        <w:pStyle w:val="DocTitle"/>
        <w:spacing w:before="0" w:after="220" w:line="240" w:lineRule="auto"/>
        <w:rPr>
          <w:color w:val="365F91" w:themeColor="accent1" w:themeShade="BF"/>
        </w:rPr>
      </w:pPr>
    </w:p>
    <w:p w14:paraId="601D3BAB" w14:textId="33264D2D" w:rsidR="00B95574" w:rsidRDefault="008964FD" w:rsidP="00E80761">
      <w:pPr>
        <w:pStyle w:val="NormalSingle"/>
        <w:spacing w:after="220"/>
      </w:pPr>
      <w:r w:rsidRPr="008964FD">
        <w:rPr>
          <w:color w:val="365F91" w:themeColor="accent1" w:themeShade="BF"/>
          <w:sz w:val="80"/>
        </w:rPr>
        <w:t>Procedure for the Conduct of a Joint Evaluation with Another Regional Cooperation</w:t>
      </w:r>
    </w:p>
    <w:p w14:paraId="33F6079F" w14:textId="77777777" w:rsidR="00B95574" w:rsidRDefault="00B95574" w:rsidP="00E80761">
      <w:pPr>
        <w:pStyle w:val="NormalSingle"/>
        <w:spacing w:after="220"/>
      </w:pPr>
    </w:p>
    <w:p w14:paraId="008F2307" w14:textId="77777777" w:rsidR="00B95574" w:rsidRDefault="00B95574" w:rsidP="00E80761">
      <w:pPr>
        <w:pStyle w:val="NormalSingle"/>
        <w:spacing w:after="220"/>
      </w:pPr>
    </w:p>
    <w:p w14:paraId="0E3F62DE" w14:textId="77777777" w:rsidR="00794FEF" w:rsidRDefault="00794FEF" w:rsidP="00E80761">
      <w:pPr>
        <w:pStyle w:val="NormalSingle"/>
        <w:spacing w:after="220"/>
      </w:pPr>
    </w:p>
    <w:p w14:paraId="120E6C4E" w14:textId="5EA8301C" w:rsidR="00794FEF" w:rsidRDefault="00794FEF" w:rsidP="00E80761">
      <w:pPr>
        <w:pStyle w:val="NormalSingle"/>
        <w:spacing w:after="220"/>
      </w:pPr>
    </w:p>
    <w:p w14:paraId="7CA79712" w14:textId="77777777" w:rsidR="007B4867" w:rsidRDefault="007B4867" w:rsidP="00E80761">
      <w:pPr>
        <w:pStyle w:val="NormalSingle"/>
        <w:spacing w:after="220"/>
      </w:pPr>
    </w:p>
    <w:p w14:paraId="51207852" w14:textId="77777777" w:rsidR="00E106D8" w:rsidRDefault="00E106D8" w:rsidP="00E80761">
      <w:pPr>
        <w:pStyle w:val="NormalSingle"/>
        <w:tabs>
          <w:tab w:val="left" w:pos="2760"/>
        </w:tabs>
        <w:spacing w:after="220"/>
      </w:pPr>
      <w:r>
        <w:tab/>
      </w:r>
    </w:p>
    <w:p w14:paraId="65B4B854" w14:textId="77777777" w:rsidR="00E106D8" w:rsidRDefault="00E106D8" w:rsidP="00E80761">
      <w:pPr>
        <w:pStyle w:val="NormalSingle"/>
        <w:spacing w:after="220"/>
      </w:pPr>
    </w:p>
    <w:p w14:paraId="611066D9" w14:textId="77777777" w:rsidR="00E106D8" w:rsidRDefault="00E106D8" w:rsidP="00E80761">
      <w:pPr>
        <w:pStyle w:val="NormalSingle"/>
        <w:spacing w:after="220"/>
      </w:pPr>
    </w:p>
    <w:p w14:paraId="25DFE4D3" w14:textId="2430A7A3" w:rsidR="00B95574" w:rsidRPr="00E106D8" w:rsidRDefault="007D5F9D" w:rsidP="00E80761">
      <w:pPr>
        <w:spacing w:after="220"/>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F80100">
        <w:rPr>
          <w:rFonts w:ascii="Arial" w:hAnsi="Arial" w:cs="Arial"/>
          <w:b/>
          <w:sz w:val="24"/>
          <w:szCs w:val="24"/>
        </w:rPr>
        <w:t>1</w:t>
      </w:r>
      <w:r w:rsidR="006B2C54">
        <w:rPr>
          <w:rFonts w:ascii="Arial" w:hAnsi="Arial" w:cs="Arial"/>
          <w:b/>
          <w:sz w:val="24"/>
          <w:szCs w:val="24"/>
        </w:rPr>
        <w:t>.2</w:t>
      </w:r>
    </w:p>
    <w:p w14:paraId="350BF482" w14:textId="41B4D718" w:rsidR="008B68E0" w:rsidRDefault="008B68E0" w:rsidP="00E80761">
      <w:pPr>
        <w:spacing w:after="220"/>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6B2C54">
        <w:rPr>
          <w:rFonts w:ascii="Arial" w:hAnsi="Arial" w:cs="Arial"/>
          <w:b/>
          <w:bCs/>
          <w:sz w:val="24"/>
          <w:szCs w:val="24"/>
        </w:rPr>
        <w:t>27 October 2020</w:t>
      </w:r>
    </w:p>
    <w:p w14:paraId="400288F0" w14:textId="0702D7AA" w:rsidR="00517E8D" w:rsidRPr="00E106D8" w:rsidRDefault="00517E8D" w:rsidP="00E80761">
      <w:pPr>
        <w:spacing w:after="220"/>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6B2C54">
        <w:rPr>
          <w:rFonts w:ascii="Arial" w:hAnsi="Arial" w:cs="Arial"/>
          <w:b/>
          <w:bCs/>
          <w:sz w:val="24"/>
          <w:szCs w:val="24"/>
        </w:rPr>
        <w:t>27 October 2020</w:t>
      </w:r>
    </w:p>
    <w:p w14:paraId="39B44708" w14:textId="0BCB8AAF" w:rsidR="001B1055" w:rsidRPr="001B1055" w:rsidRDefault="001B1055" w:rsidP="00E80761">
      <w:pPr>
        <w:tabs>
          <w:tab w:val="center" w:pos="4800"/>
          <w:tab w:val="left" w:pos="6000"/>
          <w:tab w:val="right" w:pos="9480"/>
        </w:tabs>
        <w:spacing w:after="220"/>
      </w:pPr>
      <w:r>
        <w:rPr>
          <w:rFonts w:ascii="Arial" w:hAnsi="Arial" w:cs="Arial"/>
          <w:b/>
          <w:color w:val="365F91" w:themeColor="accent1" w:themeShade="BF"/>
          <w:szCs w:val="22"/>
          <w:highlight w:val="yellow"/>
        </w:rPr>
        <w:br w:type="page"/>
      </w:r>
    </w:p>
    <w:p w14:paraId="5B11975F" w14:textId="12B1E54D" w:rsidR="008B68E0" w:rsidRPr="008B68E0" w:rsidRDefault="008B68E0" w:rsidP="00E80761">
      <w:pPr>
        <w:tabs>
          <w:tab w:val="left" w:pos="4740"/>
        </w:tabs>
        <w:spacing w:after="220"/>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51021C01" w:rsidR="008B68E0" w:rsidRPr="008B68E0" w:rsidRDefault="008B68E0" w:rsidP="00E80761">
      <w:pPr>
        <w:tabs>
          <w:tab w:val="center" w:pos="4800"/>
          <w:tab w:val="left" w:pos="6000"/>
          <w:tab w:val="right" w:pos="9480"/>
        </w:tabs>
        <w:spacing w:after="220"/>
        <w:jc w:val="left"/>
        <w:rPr>
          <w:rFonts w:ascii="Arial" w:hAnsi="Arial" w:cs="Arial"/>
        </w:rPr>
      </w:pPr>
      <w:r w:rsidRPr="008B68E0">
        <w:rPr>
          <w:rFonts w:ascii="Arial" w:hAnsi="Arial" w:cs="Arial"/>
        </w:rPr>
        <w:t xml:space="preserve">This document was produced by the APAC </w:t>
      </w:r>
      <w:r w:rsidR="00805F77">
        <w:rPr>
          <w:rFonts w:ascii="Arial" w:hAnsi="Arial" w:cs="Arial"/>
        </w:rPr>
        <w:t>MRA Council</w:t>
      </w:r>
      <w:r w:rsidRPr="008B68E0">
        <w:rPr>
          <w:rFonts w:ascii="Arial" w:hAnsi="Arial" w:cs="Arial"/>
        </w:rPr>
        <w:t>.</w:t>
      </w:r>
    </w:p>
    <w:p w14:paraId="06F2BDC7" w14:textId="1712E71E" w:rsidR="007A1DF6" w:rsidRPr="008B68E0" w:rsidRDefault="007A1DF6" w:rsidP="00E80761">
      <w:pPr>
        <w:tabs>
          <w:tab w:val="center" w:pos="4800"/>
          <w:tab w:val="left" w:pos="6000"/>
          <w:tab w:val="right" w:pos="9480"/>
        </w:tabs>
        <w:spacing w:after="220"/>
        <w:jc w:val="left"/>
        <w:rPr>
          <w:rFonts w:ascii="Arial" w:hAnsi="Arial" w:cs="Arial"/>
        </w:rPr>
      </w:pPr>
    </w:p>
    <w:p w14:paraId="2967288D" w14:textId="77777777" w:rsidR="007A1DF6" w:rsidRPr="008B68E0" w:rsidRDefault="007A1DF6" w:rsidP="00E80761">
      <w:pPr>
        <w:tabs>
          <w:tab w:val="left" w:pos="4740"/>
        </w:tabs>
        <w:spacing w:after="220"/>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E80761">
      <w:pPr>
        <w:tabs>
          <w:tab w:val="center" w:pos="4800"/>
          <w:tab w:val="left" w:pos="6000"/>
          <w:tab w:val="right" w:pos="9480"/>
        </w:tabs>
        <w:spacing w:after="2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E80761">
      <w:pPr>
        <w:tabs>
          <w:tab w:val="center" w:pos="4800"/>
          <w:tab w:val="left" w:pos="6000"/>
          <w:tab w:val="right" w:pos="9480"/>
        </w:tabs>
        <w:spacing w:after="220"/>
        <w:jc w:val="left"/>
        <w:rPr>
          <w:rFonts w:ascii="Arial" w:hAnsi="Arial" w:cs="Arial"/>
        </w:rPr>
      </w:pPr>
    </w:p>
    <w:p w14:paraId="3EE27B57" w14:textId="77777777" w:rsidR="00C03027" w:rsidRPr="008B68E0" w:rsidRDefault="00C03027" w:rsidP="00E80761">
      <w:pPr>
        <w:tabs>
          <w:tab w:val="left" w:pos="4740"/>
        </w:tabs>
        <w:spacing w:after="220"/>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03AD8859" w14:textId="77777777" w:rsidR="00B95F53" w:rsidRDefault="00B95F53" w:rsidP="00B95F53">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E80761">
      <w:pPr>
        <w:tabs>
          <w:tab w:val="center" w:pos="4800"/>
          <w:tab w:val="left" w:pos="6000"/>
          <w:tab w:val="right" w:pos="9480"/>
        </w:tabs>
        <w:spacing w:after="220"/>
        <w:jc w:val="left"/>
        <w:rPr>
          <w:rFonts w:ascii="Arial" w:hAnsi="Arial" w:cs="Arial"/>
        </w:rPr>
      </w:pPr>
    </w:p>
    <w:p w14:paraId="4337473F" w14:textId="3A0294F0" w:rsidR="00ED2809" w:rsidRDefault="00ED2809" w:rsidP="00E80761">
      <w:pPr>
        <w:spacing w:after="220"/>
        <w:jc w:val="left"/>
        <w:rPr>
          <w:rFonts w:ascii="Arial" w:hAnsi="Arial" w:cs="Arial"/>
        </w:rPr>
      </w:pPr>
      <w:r>
        <w:rPr>
          <w:rFonts w:ascii="Arial" w:hAnsi="Arial" w:cs="Arial"/>
        </w:rPr>
        <w:br w:type="page"/>
      </w:r>
    </w:p>
    <w:p w14:paraId="1018A07E" w14:textId="77777777" w:rsidR="006742C5" w:rsidRDefault="006742C5" w:rsidP="00E80761">
      <w:pPr>
        <w:tabs>
          <w:tab w:val="center" w:pos="4800"/>
          <w:tab w:val="left" w:pos="6000"/>
          <w:tab w:val="right" w:pos="9480"/>
        </w:tabs>
        <w:spacing w:after="220"/>
        <w:jc w:val="left"/>
        <w:rPr>
          <w:rFonts w:ascii="Arial" w:hAnsi="Arial" w:cs="Arial"/>
        </w:rPr>
      </w:pPr>
    </w:p>
    <w:p w14:paraId="3AB51E45" w14:textId="77777777" w:rsidR="00A72F9B" w:rsidRPr="0028236D" w:rsidRDefault="006F0EF9" w:rsidP="00E80761">
      <w:pPr>
        <w:tabs>
          <w:tab w:val="center" w:pos="4800"/>
          <w:tab w:val="left" w:pos="6000"/>
          <w:tab w:val="right" w:pos="9480"/>
        </w:tabs>
        <w:spacing w:after="2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3EE62736" w14:textId="327118C6" w:rsidR="00D2064A" w:rsidRDefault="006551CB">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caps/>
          <w:sz w:val="24"/>
        </w:rPr>
        <w:fldChar w:fldCharType="begin"/>
      </w:r>
      <w:r>
        <w:rPr>
          <w:caps/>
          <w:sz w:val="24"/>
        </w:rPr>
        <w:instrText xml:space="preserve"> TOC \o "1-2" \u </w:instrText>
      </w:r>
      <w:r>
        <w:rPr>
          <w:caps/>
          <w:sz w:val="24"/>
        </w:rPr>
        <w:fldChar w:fldCharType="separate"/>
      </w:r>
      <w:r w:rsidR="00D2064A">
        <w:rPr>
          <w:noProof/>
        </w:rPr>
        <w:t>1.</w:t>
      </w:r>
      <w:r w:rsidR="00D2064A">
        <w:rPr>
          <w:rFonts w:asciiTheme="minorHAnsi" w:eastAsiaTheme="minorEastAsia" w:hAnsiTheme="minorHAnsi" w:cstheme="minorBidi"/>
          <w:b w:val="0"/>
          <w:bCs w:val="0"/>
          <w:noProof/>
          <w:szCs w:val="22"/>
          <w:lang w:val="en-US" w:eastAsia="zh-TW"/>
        </w:rPr>
        <w:tab/>
      </w:r>
      <w:r w:rsidR="00D2064A" w:rsidRPr="00EB6E9E">
        <w:rPr>
          <w:noProof/>
        </w:rPr>
        <w:t>PURPOSE</w:t>
      </w:r>
      <w:r w:rsidR="00D2064A">
        <w:rPr>
          <w:noProof/>
        </w:rPr>
        <w:tab/>
      </w:r>
      <w:r w:rsidR="00D2064A">
        <w:rPr>
          <w:noProof/>
        </w:rPr>
        <w:fldChar w:fldCharType="begin"/>
      </w:r>
      <w:r w:rsidR="00D2064A">
        <w:rPr>
          <w:noProof/>
        </w:rPr>
        <w:instrText xml:space="preserve"> PAGEREF _Toc530561302 \h </w:instrText>
      </w:r>
      <w:r w:rsidR="00D2064A">
        <w:rPr>
          <w:noProof/>
        </w:rPr>
      </w:r>
      <w:r w:rsidR="00D2064A">
        <w:rPr>
          <w:noProof/>
        </w:rPr>
        <w:fldChar w:fldCharType="separate"/>
      </w:r>
      <w:r w:rsidR="00D2064A">
        <w:rPr>
          <w:noProof/>
        </w:rPr>
        <w:t>4</w:t>
      </w:r>
      <w:r w:rsidR="00D2064A">
        <w:rPr>
          <w:noProof/>
        </w:rPr>
        <w:fldChar w:fldCharType="end"/>
      </w:r>
    </w:p>
    <w:p w14:paraId="1E7B08E7" w14:textId="12102775" w:rsidR="00D2064A" w:rsidRDefault="00D2064A">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lang w:eastAsia="ja-JP"/>
        </w:rPr>
        <w:t>2.</w:t>
      </w:r>
      <w:r>
        <w:rPr>
          <w:rFonts w:asciiTheme="minorHAnsi" w:eastAsiaTheme="minorEastAsia" w:hAnsiTheme="minorHAnsi" w:cstheme="minorBidi"/>
          <w:b w:val="0"/>
          <w:bCs w:val="0"/>
          <w:noProof/>
          <w:szCs w:val="22"/>
          <w:lang w:val="en-US" w:eastAsia="zh-TW"/>
        </w:rPr>
        <w:tab/>
      </w:r>
      <w:r>
        <w:rPr>
          <w:noProof/>
          <w:lang w:eastAsia="ja-JP"/>
        </w:rPr>
        <w:t>INTRODUCTION</w:t>
      </w:r>
      <w:r>
        <w:rPr>
          <w:noProof/>
        </w:rPr>
        <w:tab/>
      </w:r>
      <w:r>
        <w:rPr>
          <w:noProof/>
        </w:rPr>
        <w:fldChar w:fldCharType="begin"/>
      </w:r>
      <w:r>
        <w:rPr>
          <w:noProof/>
        </w:rPr>
        <w:instrText xml:space="preserve"> PAGEREF _Toc530561303 \h </w:instrText>
      </w:r>
      <w:r>
        <w:rPr>
          <w:noProof/>
        </w:rPr>
      </w:r>
      <w:r>
        <w:rPr>
          <w:noProof/>
        </w:rPr>
        <w:fldChar w:fldCharType="separate"/>
      </w:r>
      <w:r>
        <w:rPr>
          <w:noProof/>
        </w:rPr>
        <w:t>4</w:t>
      </w:r>
      <w:r>
        <w:rPr>
          <w:noProof/>
        </w:rPr>
        <w:fldChar w:fldCharType="end"/>
      </w:r>
    </w:p>
    <w:p w14:paraId="711147ED" w14:textId="31D5B370" w:rsidR="00D2064A" w:rsidRDefault="00D2064A">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lang w:eastAsia="ja-JP"/>
        </w:rPr>
        <w:t>3.</w:t>
      </w:r>
      <w:r>
        <w:rPr>
          <w:rFonts w:asciiTheme="minorHAnsi" w:eastAsiaTheme="minorEastAsia" w:hAnsiTheme="minorHAnsi" w:cstheme="minorBidi"/>
          <w:b w:val="0"/>
          <w:bCs w:val="0"/>
          <w:noProof/>
          <w:szCs w:val="22"/>
          <w:lang w:val="en-US" w:eastAsia="zh-TW"/>
        </w:rPr>
        <w:tab/>
      </w:r>
      <w:r>
        <w:rPr>
          <w:noProof/>
          <w:lang w:eastAsia="ja-JP"/>
        </w:rPr>
        <w:t>REQUEST FOR COOPERATION</w:t>
      </w:r>
      <w:r>
        <w:rPr>
          <w:noProof/>
        </w:rPr>
        <w:tab/>
      </w:r>
      <w:r>
        <w:rPr>
          <w:noProof/>
        </w:rPr>
        <w:fldChar w:fldCharType="begin"/>
      </w:r>
      <w:r>
        <w:rPr>
          <w:noProof/>
        </w:rPr>
        <w:instrText xml:space="preserve"> PAGEREF _Toc530561304 \h </w:instrText>
      </w:r>
      <w:r>
        <w:rPr>
          <w:noProof/>
        </w:rPr>
      </w:r>
      <w:r>
        <w:rPr>
          <w:noProof/>
        </w:rPr>
        <w:fldChar w:fldCharType="separate"/>
      </w:r>
      <w:r>
        <w:rPr>
          <w:noProof/>
        </w:rPr>
        <w:t>4</w:t>
      </w:r>
      <w:r>
        <w:rPr>
          <w:noProof/>
        </w:rPr>
        <w:fldChar w:fldCharType="end"/>
      </w:r>
    </w:p>
    <w:p w14:paraId="3F015046" w14:textId="6D045C62" w:rsidR="00D2064A" w:rsidRDefault="00D2064A">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lang w:eastAsia="ja-JP"/>
        </w:rPr>
        <w:t>4.</w:t>
      </w:r>
      <w:r>
        <w:rPr>
          <w:rFonts w:asciiTheme="minorHAnsi" w:eastAsiaTheme="minorEastAsia" w:hAnsiTheme="minorHAnsi" w:cstheme="minorBidi"/>
          <w:b w:val="0"/>
          <w:bCs w:val="0"/>
          <w:noProof/>
          <w:szCs w:val="22"/>
          <w:lang w:val="en-US" w:eastAsia="zh-TW"/>
        </w:rPr>
        <w:tab/>
      </w:r>
      <w:r>
        <w:rPr>
          <w:noProof/>
          <w:lang w:eastAsia="ja-JP"/>
        </w:rPr>
        <w:t>CONDITIONS OF COOPERATION</w:t>
      </w:r>
      <w:r>
        <w:rPr>
          <w:noProof/>
        </w:rPr>
        <w:tab/>
      </w:r>
      <w:r>
        <w:rPr>
          <w:noProof/>
        </w:rPr>
        <w:fldChar w:fldCharType="begin"/>
      </w:r>
      <w:r>
        <w:rPr>
          <w:noProof/>
        </w:rPr>
        <w:instrText xml:space="preserve"> PAGEREF _Toc530561305 \h </w:instrText>
      </w:r>
      <w:r>
        <w:rPr>
          <w:noProof/>
        </w:rPr>
      </w:r>
      <w:r>
        <w:rPr>
          <w:noProof/>
        </w:rPr>
        <w:fldChar w:fldCharType="separate"/>
      </w:r>
      <w:r>
        <w:rPr>
          <w:noProof/>
        </w:rPr>
        <w:t>4</w:t>
      </w:r>
      <w:r>
        <w:rPr>
          <w:noProof/>
        </w:rPr>
        <w:fldChar w:fldCharType="end"/>
      </w:r>
    </w:p>
    <w:p w14:paraId="30716CF7" w14:textId="6228C8D6" w:rsidR="00D2064A" w:rsidRDefault="00D2064A">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lang w:eastAsia="ja-JP"/>
        </w:rPr>
        <w:t>5.</w:t>
      </w:r>
      <w:r>
        <w:rPr>
          <w:rFonts w:asciiTheme="minorHAnsi" w:eastAsiaTheme="minorEastAsia" w:hAnsiTheme="minorHAnsi" w:cstheme="minorBidi"/>
          <w:b w:val="0"/>
          <w:bCs w:val="0"/>
          <w:noProof/>
          <w:szCs w:val="22"/>
          <w:lang w:val="en-US" w:eastAsia="zh-TW"/>
        </w:rPr>
        <w:tab/>
      </w:r>
      <w:r>
        <w:rPr>
          <w:noProof/>
          <w:lang w:eastAsia="ja-JP"/>
        </w:rPr>
        <w:t>REVERSION TO APAC-ONLY EVALUATION</w:t>
      </w:r>
      <w:r>
        <w:rPr>
          <w:noProof/>
        </w:rPr>
        <w:tab/>
      </w:r>
      <w:r>
        <w:rPr>
          <w:noProof/>
        </w:rPr>
        <w:fldChar w:fldCharType="begin"/>
      </w:r>
      <w:r>
        <w:rPr>
          <w:noProof/>
        </w:rPr>
        <w:instrText xml:space="preserve"> PAGEREF _Toc530561306 \h </w:instrText>
      </w:r>
      <w:r>
        <w:rPr>
          <w:noProof/>
        </w:rPr>
      </w:r>
      <w:r>
        <w:rPr>
          <w:noProof/>
        </w:rPr>
        <w:fldChar w:fldCharType="separate"/>
      </w:r>
      <w:r>
        <w:rPr>
          <w:noProof/>
        </w:rPr>
        <w:t>5</w:t>
      </w:r>
      <w:r>
        <w:rPr>
          <w:noProof/>
        </w:rPr>
        <w:fldChar w:fldCharType="end"/>
      </w:r>
    </w:p>
    <w:p w14:paraId="0A6E09EA" w14:textId="6E9A3846" w:rsidR="00D2064A" w:rsidRDefault="00D2064A">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sidRPr="00EB6E9E">
        <w:rPr>
          <w:noProof/>
          <w:lang w:val="en-US" w:eastAsia="en-AU"/>
        </w:rPr>
        <w:t>6.</w:t>
      </w:r>
      <w:r>
        <w:rPr>
          <w:rFonts w:asciiTheme="minorHAnsi" w:eastAsiaTheme="minorEastAsia" w:hAnsiTheme="minorHAnsi" w:cstheme="minorBidi"/>
          <w:b w:val="0"/>
          <w:bCs w:val="0"/>
          <w:noProof/>
          <w:szCs w:val="22"/>
          <w:lang w:val="en-US" w:eastAsia="zh-TW"/>
        </w:rPr>
        <w:tab/>
      </w:r>
      <w:r w:rsidRPr="00EB6E9E">
        <w:rPr>
          <w:noProof/>
          <w:lang w:val="en-US" w:eastAsia="en-AU"/>
        </w:rPr>
        <w:t>AMENDMENT TABLE</w:t>
      </w:r>
      <w:r>
        <w:rPr>
          <w:noProof/>
        </w:rPr>
        <w:tab/>
      </w:r>
      <w:r>
        <w:rPr>
          <w:noProof/>
        </w:rPr>
        <w:fldChar w:fldCharType="begin"/>
      </w:r>
      <w:r>
        <w:rPr>
          <w:noProof/>
        </w:rPr>
        <w:instrText xml:space="preserve"> PAGEREF _Toc530561307 \h </w:instrText>
      </w:r>
      <w:r>
        <w:rPr>
          <w:noProof/>
        </w:rPr>
      </w:r>
      <w:r>
        <w:rPr>
          <w:noProof/>
        </w:rPr>
        <w:fldChar w:fldCharType="separate"/>
      </w:r>
      <w:r>
        <w:rPr>
          <w:noProof/>
        </w:rPr>
        <w:t>5</w:t>
      </w:r>
      <w:r>
        <w:rPr>
          <w:noProof/>
        </w:rPr>
        <w:fldChar w:fldCharType="end"/>
      </w:r>
    </w:p>
    <w:p w14:paraId="3A7F02BE" w14:textId="4533E9CB" w:rsidR="00D2064A" w:rsidRDefault="00D2064A">
      <w:pPr>
        <w:pStyle w:val="TOC1"/>
        <w:tabs>
          <w:tab w:val="right" w:leader="dot" w:pos="8497"/>
        </w:tabs>
        <w:rPr>
          <w:rFonts w:asciiTheme="minorHAnsi" w:eastAsiaTheme="minorEastAsia" w:hAnsiTheme="minorHAnsi" w:cstheme="minorBidi"/>
          <w:b w:val="0"/>
          <w:bCs w:val="0"/>
          <w:noProof/>
          <w:szCs w:val="22"/>
          <w:lang w:val="en-US" w:eastAsia="zh-TW"/>
        </w:rPr>
      </w:pPr>
      <w:r>
        <w:rPr>
          <w:noProof/>
          <w:lang w:eastAsia="ja-JP"/>
        </w:rPr>
        <w:t>APPENDIX A - PROCEDURES FOR THE CONDUCT OF JOINT APAC/IAAC EVALUATIONS</w:t>
      </w:r>
      <w:r>
        <w:rPr>
          <w:noProof/>
        </w:rPr>
        <w:tab/>
      </w:r>
      <w:r>
        <w:rPr>
          <w:noProof/>
        </w:rPr>
        <w:fldChar w:fldCharType="begin"/>
      </w:r>
      <w:r>
        <w:rPr>
          <w:noProof/>
        </w:rPr>
        <w:instrText xml:space="preserve"> PAGEREF _Toc530561308 \h </w:instrText>
      </w:r>
      <w:r>
        <w:rPr>
          <w:noProof/>
        </w:rPr>
      </w:r>
      <w:r>
        <w:rPr>
          <w:noProof/>
        </w:rPr>
        <w:fldChar w:fldCharType="separate"/>
      </w:r>
      <w:r>
        <w:rPr>
          <w:noProof/>
        </w:rPr>
        <w:t>6</w:t>
      </w:r>
      <w:r>
        <w:rPr>
          <w:noProof/>
        </w:rPr>
        <w:fldChar w:fldCharType="end"/>
      </w:r>
    </w:p>
    <w:p w14:paraId="3F4DBA10" w14:textId="535A0106" w:rsidR="00A72F9B" w:rsidRDefault="006551CB" w:rsidP="00E80761">
      <w:pPr>
        <w:tabs>
          <w:tab w:val="center" w:pos="4800"/>
          <w:tab w:val="left" w:pos="6000"/>
          <w:tab w:val="right" w:pos="9480"/>
        </w:tabs>
        <w:spacing w:after="220"/>
        <w:jc w:val="left"/>
      </w:pPr>
      <w:r>
        <w:rPr>
          <w:rFonts w:ascii="Arial" w:hAnsi="Arial"/>
          <w:caps/>
          <w:sz w:val="24"/>
          <w:szCs w:val="24"/>
        </w:rPr>
        <w:fldChar w:fldCharType="end"/>
      </w:r>
    </w:p>
    <w:p w14:paraId="23E7C1EB" w14:textId="77777777" w:rsidR="00A72F9B" w:rsidRDefault="00A72F9B" w:rsidP="00E80761">
      <w:pPr>
        <w:widowControl w:val="0"/>
        <w:spacing w:after="220"/>
        <w:ind w:right="635"/>
        <w:jc w:val="center"/>
        <w:rPr>
          <w:b/>
        </w:rPr>
      </w:pPr>
    </w:p>
    <w:p w14:paraId="0D072080" w14:textId="77777777" w:rsidR="00794FEF" w:rsidRDefault="00794FEF" w:rsidP="00E80761">
      <w:pPr>
        <w:widowControl w:val="0"/>
        <w:spacing w:after="220"/>
        <w:ind w:right="635"/>
        <w:jc w:val="center"/>
        <w:rPr>
          <w:b/>
        </w:rPr>
      </w:pPr>
    </w:p>
    <w:p w14:paraId="657696F4" w14:textId="77777777" w:rsidR="00794FEF" w:rsidRDefault="00AD58D4" w:rsidP="00E80761">
      <w:pPr>
        <w:tabs>
          <w:tab w:val="left" w:pos="4740"/>
        </w:tabs>
        <w:spacing w:after="220"/>
        <w:rPr>
          <w:rFonts w:ascii="Arial" w:hAnsi="Arial" w:cs="Arial"/>
          <w:b/>
          <w:szCs w:val="22"/>
        </w:rPr>
      </w:pPr>
      <w:r>
        <w:rPr>
          <w:rFonts w:ascii="Arial" w:hAnsi="Arial" w:cs="Arial"/>
          <w:b/>
          <w:szCs w:val="22"/>
        </w:rPr>
        <w:br w:type="page"/>
      </w:r>
    </w:p>
    <w:p w14:paraId="6A90698F" w14:textId="57695D64" w:rsidR="00987845" w:rsidRPr="00987845" w:rsidRDefault="00987845" w:rsidP="009324E3">
      <w:pPr>
        <w:pStyle w:val="ITISHeading1"/>
        <w:numPr>
          <w:ilvl w:val="0"/>
          <w:numId w:val="21"/>
        </w:numPr>
        <w:ind w:left="851" w:hanging="851"/>
      </w:pPr>
      <w:bookmarkStart w:id="0" w:name="_Toc530561302"/>
      <w:r>
        <w:rPr>
          <w:caps w:val="0"/>
        </w:rPr>
        <w:lastRenderedPageBreak/>
        <w:t>PURPOSE</w:t>
      </w:r>
      <w:bookmarkEnd w:id="0"/>
      <w:r w:rsidRPr="00987845">
        <w:rPr>
          <w:rFonts w:eastAsia="MS Mincho"/>
          <w:lang w:eastAsia="ja-JP"/>
        </w:rPr>
        <w:t xml:space="preserve"> </w:t>
      </w:r>
    </w:p>
    <w:p w14:paraId="63F159C8" w14:textId="68B4B284" w:rsidR="009324E3" w:rsidRPr="009324E3" w:rsidRDefault="00351AEF" w:rsidP="00B95F53">
      <w:pPr>
        <w:spacing w:after="220"/>
        <w:ind w:left="851"/>
        <w:rPr>
          <w:rFonts w:ascii="Arial" w:hAnsi="Arial" w:cs="Arial"/>
        </w:rPr>
      </w:pPr>
      <w:r w:rsidRPr="009324E3">
        <w:rPr>
          <w:rFonts w:ascii="Arial" w:hAnsi="Arial" w:cs="Arial"/>
        </w:rPr>
        <w:t xml:space="preserve">Wherever appropriate and when requested, APAC cooperates with other regional cooperation bodies in the conduct of joint evaluations of accreditation bodies.  The main body of this document outlines the general principles to be followed for the conduct of a joint evaluation with another regional body. </w:t>
      </w:r>
    </w:p>
    <w:p w14:paraId="7BE22C3F" w14:textId="21A52F5C" w:rsidR="009D1CBF" w:rsidRPr="009324E3" w:rsidRDefault="00351AEF" w:rsidP="00B95F53">
      <w:pPr>
        <w:spacing w:after="220"/>
        <w:ind w:left="851"/>
        <w:rPr>
          <w:rFonts w:ascii="Arial" w:hAnsi="Arial" w:cs="Arial"/>
        </w:rPr>
      </w:pPr>
      <w:r w:rsidRPr="009324E3">
        <w:rPr>
          <w:rFonts w:ascii="Arial" w:hAnsi="Arial" w:cs="Arial"/>
        </w:rPr>
        <w:t>Mutually agreed procedures with specific regional bodies are included as an Appendix.</w:t>
      </w:r>
    </w:p>
    <w:p w14:paraId="178308C7" w14:textId="18777B34" w:rsidR="00987845" w:rsidRPr="00987845" w:rsidRDefault="009324E3" w:rsidP="00B95F53">
      <w:pPr>
        <w:pStyle w:val="ITISHeading1"/>
        <w:numPr>
          <w:ilvl w:val="0"/>
          <w:numId w:val="21"/>
        </w:numPr>
        <w:ind w:left="851" w:hanging="851"/>
        <w:rPr>
          <w:lang w:eastAsia="ja-JP"/>
        </w:rPr>
      </w:pPr>
      <w:bookmarkStart w:id="1" w:name="_Toc530561303"/>
      <w:bookmarkStart w:id="2" w:name="_Hlk520217157"/>
      <w:r>
        <w:rPr>
          <w:lang w:eastAsia="ja-JP"/>
        </w:rPr>
        <w:t>I</w:t>
      </w:r>
      <w:r w:rsidR="00351AEF">
        <w:rPr>
          <w:lang w:eastAsia="ja-JP"/>
        </w:rPr>
        <w:t>NTRODUCTION</w:t>
      </w:r>
      <w:bookmarkEnd w:id="1"/>
    </w:p>
    <w:bookmarkEnd w:id="2"/>
    <w:p w14:paraId="636982B3" w14:textId="6DFD1FD1" w:rsidR="00351AEF" w:rsidRPr="00351AEF" w:rsidRDefault="00351AEF" w:rsidP="00B95F53">
      <w:pPr>
        <w:spacing w:after="220"/>
        <w:ind w:left="851" w:hanging="851"/>
        <w:rPr>
          <w:rFonts w:ascii="Arial" w:eastAsia="Times New Roman" w:hAnsi="Arial"/>
        </w:rPr>
      </w:pPr>
      <w:r w:rsidRPr="00351AEF">
        <w:rPr>
          <w:rFonts w:ascii="Arial" w:eastAsia="Times New Roman" w:hAnsi="Arial"/>
        </w:rPr>
        <w:tab/>
        <w:t>From time to time APAC may be requested by either:</w:t>
      </w:r>
    </w:p>
    <w:p w14:paraId="61C7F7A6" w14:textId="77777777" w:rsidR="00351AEF" w:rsidRPr="00351AEF" w:rsidRDefault="00351AEF" w:rsidP="00B95F53">
      <w:pPr>
        <w:numPr>
          <w:ilvl w:val="0"/>
          <w:numId w:val="11"/>
        </w:numPr>
        <w:spacing w:after="220"/>
        <w:ind w:left="1418" w:hanging="567"/>
        <w:rPr>
          <w:rFonts w:ascii="Arial" w:eastAsia="Times New Roman" w:hAnsi="Arial"/>
        </w:rPr>
      </w:pPr>
      <w:r w:rsidRPr="00351AEF">
        <w:rPr>
          <w:rFonts w:ascii="Arial" w:eastAsia="Times New Roman" w:hAnsi="Arial"/>
        </w:rPr>
        <w:t>another regional cooperation body (or a national coordination body, hereinafter included in the term “cooperation body”), or;</w:t>
      </w:r>
    </w:p>
    <w:p w14:paraId="4F74875A" w14:textId="77777777" w:rsidR="00351AEF" w:rsidRPr="00351AEF" w:rsidRDefault="00351AEF" w:rsidP="00B95F53">
      <w:pPr>
        <w:numPr>
          <w:ilvl w:val="0"/>
          <w:numId w:val="11"/>
        </w:numPr>
        <w:spacing w:after="220"/>
        <w:ind w:left="1418" w:hanging="567"/>
        <w:rPr>
          <w:rFonts w:ascii="Arial" w:eastAsia="Times New Roman" w:hAnsi="Arial"/>
        </w:rPr>
      </w:pPr>
      <w:r w:rsidRPr="00351AEF">
        <w:rPr>
          <w:rFonts w:ascii="Arial" w:eastAsia="Times New Roman" w:hAnsi="Arial"/>
        </w:rPr>
        <w:t>an accreditation body itself,</w:t>
      </w:r>
    </w:p>
    <w:p w14:paraId="7F325B5A" w14:textId="59169F1B" w:rsidR="00351AEF" w:rsidRDefault="00F36EF3" w:rsidP="00B95F53">
      <w:pPr>
        <w:tabs>
          <w:tab w:val="left" w:pos="993"/>
        </w:tabs>
        <w:spacing w:after="220"/>
        <w:ind w:left="851" w:hanging="851"/>
        <w:rPr>
          <w:rFonts w:ascii="Arial" w:eastAsia="Times New Roman" w:hAnsi="Arial"/>
        </w:rPr>
      </w:pPr>
      <w:r>
        <w:rPr>
          <w:rFonts w:ascii="Arial" w:eastAsia="Times New Roman" w:hAnsi="Arial"/>
        </w:rPr>
        <w:tab/>
      </w:r>
      <w:r w:rsidR="00351AEF" w:rsidRPr="00351AEF">
        <w:rPr>
          <w:rFonts w:ascii="Arial" w:eastAsia="Times New Roman" w:hAnsi="Arial"/>
        </w:rPr>
        <w:t xml:space="preserve">to cooperate in the conduct of a joint evaluation of an accreditation body that is a member of both cooperation bodies or has a contract of cooperation with one of the cooperation bodies while being a member of the other cooperation body. </w:t>
      </w:r>
      <w:r>
        <w:rPr>
          <w:rFonts w:ascii="Arial" w:eastAsia="Times New Roman" w:hAnsi="Arial"/>
        </w:rPr>
        <w:t xml:space="preserve"> </w:t>
      </w:r>
      <w:r w:rsidR="00351AEF" w:rsidRPr="00351AEF">
        <w:rPr>
          <w:rFonts w:ascii="Arial" w:eastAsia="Times New Roman" w:hAnsi="Arial"/>
        </w:rPr>
        <w:t xml:space="preserve">Wherever possible, APAC will cooperate to enable APAC participation in a requested joint evaluation.   </w:t>
      </w:r>
    </w:p>
    <w:p w14:paraId="0F5DB0AD" w14:textId="7CA635D6" w:rsidR="006E0F7F" w:rsidRPr="00987845" w:rsidRDefault="006E0F7F" w:rsidP="00B95F53">
      <w:pPr>
        <w:pStyle w:val="ITISHeading1"/>
        <w:numPr>
          <w:ilvl w:val="0"/>
          <w:numId w:val="21"/>
        </w:numPr>
        <w:ind w:left="851" w:hanging="851"/>
        <w:rPr>
          <w:lang w:eastAsia="ja-JP"/>
        </w:rPr>
      </w:pPr>
      <w:bookmarkStart w:id="3" w:name="_Toc530561304"/>
      <w:r>
        <w:rPr>
          <w:lang w:eastAsia="ja-JP"/>
        </w:rPr>
        <w:t>REQUEST FOR COOPERATION</w:t>
      </w:r>
      <w:bookmarkEnd w:id="3"/>
    </w:p>
    <w:p w14:paraId="1415CF5D" w14:textId="77777777" w:rsidR="00BC54C1" w:rsidRDefault="00351AEF" w:rsidP="00B95F53">
      <w:pPr>
        <w:spacing w:after="220"/>
        <w:ind w:left="851" w:hanging="851"/>
        <w:rPr>
          <w:rFonts w:ascii="Arial" w:eastAsia="Times New Roman" w:hAnsi="Arial"/>
          <w:lang w:eastAsia="en-AU"/>
        </w:rPr>
      </w:pPr>
      <w:r w:rsidRPr="00351AEF">
        <w:rPr>
          <w:rFonts w:ascii="Arial" w:eastAsia="Times New Roman" w:hAnsi="Arial"/>
          <w:lang w:eastAsia="en-AU"/>
        </w:rPr>
        <w:tab/>
        <w:t xml:space="preserve">Any request for cooperation shall be sent to the Chair of the APAC MRA Council who, in non-routine cases, shall refer the request to the APAC MRA Council, seeking the Council’s endorsement. </w:t>
      </w:r>
      <w:r w:rsidR="00BC54C1">
        <w:rPr>
          <w:rFonts w:ascii="Arial" w:eastAsia="Times New Roman" w:hAnsi="Arial"/>
          <w:lang w:eastAsia="en-AU"/>
        </w:rPr>
        <w:t xml:space="preserve"> </w:t>
      </w:r>
    </w:p>
    <w:p w14:paraId="3A4FBE56" w14:textId="314F8F01" w:rsidR="00BC54C1" w:rsidRPr="00FB6869" w:rsidRDefault="00BC54C1" w:rsidP="00B95F53">
      <w:pPr>
        <w:spacing w:after="220"/>
        <w:ind w:left="1418" w:hanging="567"/>
        <w:rPr>
          <w:rFonts w:ascii="Arial" w:eastAsia="Times New Roman" w:hAnsi="Arial"/>
          <w:i/>
          <w:lang w:eastAsia="en-AU"/>
        </w:rPr>
      </w:pPr>
      <w:r w:rsidRPr="00FB6869">
        <w:rPr>
          <w:rFonts w:ascii="Arial" w:eastAsia="Times New Roman" w:hAnsi="Arial"/>
          <w:i/>
          <w:lang w:eastAsia="en-AU"/>
        </w:rPr>
        <w:tab/>
      </w:r>
      <w:r w:rsidR="00FB6869" w:rsidRPr="00FB6869">
        <w:rPr>
          <w:rFonts w:ascii="Arial" w:eastAsia="Times New Roman" w:hAnsi="Arial"/>
          <w:i/>
          <w:lang w:eastAsia="en-AU"/>
        </w:rPr>
        <w:t xml:space="preserve">Note: </w:t>
      </w:r>
      <w:r w:rsidR="00351AEF" w:rsidRPr="00351AEF">
        <w:rPr>
          <w:rFonts w:ascii="Arial" w:eastAsia="Times New Roman" w:hAnsi="Arial"/>
          <w:i/>
          <w:lang w:eastAsia="en-AU"/>
        </w:rPr>
        <w:t xml:space="preserve">Scheduled re-evaluations of accreditation bodies covered by the specific cases set out in the Appendix to this document are considered routine cases. </w:t>
      </w:r>
    </w:p>
    <w:p w14:paraId="2F6DF665" w14:textId="53E2C1F9" w:rsidR="00351AEF" w:rsidRDefault="00BC54C1" w:rsidP="00B95F53">
      <w:pPr>
        <w:spacing w:after="220"/>
        <w:ind w:left="851" w:hanging="851"/>
        <w:rPr>
          <w:rFonts w:ascii="Arial" w:eastAsia="Times New Roman" w:hAnsi="Arial"/>
          <w:lang w:eastAsia="en-AU"/>
        </w:rPr>
      </w:pPr>
      <w:r>
        <w:rPr>
          <w:rFonts w:ascii="Arial" w:eastAsia="Times New Roman" w:hAnsi="Arial"/>
          <w:lang w:eastAsia="en-AU"/>
        </w:rPr>
        <w:tab/>
      </w:r>
      <w:r w:rsidR="00351AEF" w:rsidRPr="00351AEF">
        <w:rPr>
          <w:rFonts w:ascii="Arial" w:eastAsia="Times New Roman" w:hAnsi="Arial"/>
          <w:lang w:eastAsia="en-AU"/>
        </w:rPr>
        <w:t xml:space="preserve">Consultation with the MRA Council shall be by email correspondence if the timing of the request is such that it cannot be dealt with during a meeting of the MRA Council. </w:t>
      </w:r>
      <w:r>
        <w:rPr>
          <w:rFonts w:ascii="Arial" w:eastAsia="Times New Roman" w:hAnsi="Arial"/>
          <w:lang w:eastAsia="en-AU"/>
        </w:rPr>
        <w:t xml:space="preserve"> </w:t>
      </w:r>
      <w:r w:rsidR="00351AEF" w:rsidRPr="00351AEF">
        <w:rPr>
          <w:rFonts w:ascii="Arial" w:eastAsia="Times New Roman" w:hAnsi="Arial"/>
          <w:lang w:eastAsia="en-AU"/>
        </w:rPr>
        <w:t xml:space="preserve">Records of the </w:t>
      </w:r>
      <w:r>
        <w:rPr>
          <w:rFonts w:ascii="Arial" w:eastAsia="Times New Roman" w:hAnsi="Arial"/>
          <w:lang w:eastAsia="en-AU"/>
        </w:rPr>
        <w:t xml:space="preserve">related </w:t>
      </w:r>
      <w:r w:rsidR="00351AEF" w:rsidRPr="00351AEF">
        <w:rPr>
          <w:rFonts w:ascii="Arial" w:eastAsia="Times New Roman" w:hAnsi="Arial"/>
          <w:lang w:eastAsia="en-AU"/>
        </w:rPr>
        <w:t xml:space="preserve">MRA Council correspondence and decision shall be maintained by the APAC secretariat.  </w:t>
      </w:r>
    </w:p>
    <w:p w14:paraId="3956A30A" w14:textId="1B97B0A8" w:rsidR="008215C0" w:rsidRPr="00987845" w:rsidRDefault="008215C0" w:rsidP="00B95F53">
      <w:pPr>
        <w:pStyle w:val="ITISHeading1"/>
        <w:numPr>
          <w:ilvl w:val="0"/>
          <w:numId w:val="21"/>
        </w:numPr>
        <w:ind w:left="851" w:hanging="851"/>
        <w:rPr>
          <w:lang w:eastAsia="ja-JP"/>
        </w:rPr>
      </w:pPr>
      <w:bookmarkStart w:id="4" w:name="_Toc530561305"/>
      <w:r>
        <w:rPr>
          <w:lang w:eastAsia="ja-JP"/>
        </w:rPr>
        <w:t>CONDITIONS OF COOPERATION</w:t>
      </w:r>
      <w:bookmarkEnd w:id="4"/>
    </w:p>
    <w:p w14:paraId="1151A8F6" w14:textId="6D327906" w:rsidR="00351AEF" w:rsidRPr="00351AEF" w:rsidRDefault="00351AEF" w:rsidP="00B95F53">
      <w:pPr>
        <w:spacing w:after="220"/>
        <w:ind w:left="851" w:hanging="851"/>
        <w:rPr>
          <w:rFonts w:ascii="Arial" w:eastAsia="Times New Roman" w:hAnsi="Arial"/>
        </w:rPr>
      </w:pPr>
      <w:r w:rsidRPr="00351AEF">
        <w:rPr>
          <w:rFonts w:ascii="Arial" w:eastAsia="Times New Roman" w:hAnsi="Arial"/>
        </w:rPr>
        <w:tab/>
        <w:t>Once the APAC MRA Council has endorsed the request, the Chair of the Council (or, if delegated, the Secretary) shall advise the other cooperation body and/or accreditation body that APAC will cooperate in the conduct of the joint evaluation with the following conditions applying:</w:t>
      </w:r>
    </w:p>
    <w:p w14:paraId="3063B2A9" w14:textId="5BFB61D5" w:rsidR="00351AEF" w:rsidRPr="00351AEF" w:rsidRDefault="00351AEF" w:rsidP="00B95F53">
      <w:pPr>
        <w:numPr>
          <w:ilvl w:val="0"/>
          <w:numId w:val="10"/>
        </w:numPr>
        <w:tabs>
          <w:tab w:val="clear" w:pos="360"/>
        </w:tabs>
        <w:spacing w:after="220"/>
        <w:ind w:left="1418" w:hanging="567"/>
        <w:rPr>
          <w:rFonts w:ascii="Arial" w:eastAsia="Times New Roman" w:hAnsi="Arial"/>
        </w:rPr>
      </w:pPr>
      <w:r w:rsidRPr="00351AEF">
        <w:rPr>
          <w:rFonts w:ascii="Arial" w:eastAsia="Times New Roman" w:hAnsi="Arial"/>
        </w:rPr>
        <w:t>Except where otherwise allowed in the Appendix to this document, the procedures set out in APAC MR</w:t>
      </w:r>
      <w:r w:rsidR="00462C30" w:rsidRPr="00462C30">
        <w:rPr>
          <w:rFonts w:ascii="Arial" w:eastAsia="Times New Roman" w:hAnsi="Arial"/>
        </w:rPr>
        <w:t>A-</w:t>
      </w:r>
      <w:r w:rsidRPr="00351AEF">
        <w:rPr>
          <w:rFonts w:ascii="Arial" w:eastAsia="Times New Roman" w:hAnsi="Arial"/>
        </w:rPr>
        <w:t xml:space="preserve">001 </w:t>
      </w:r>
      <w:r w:rsidR="00887C71">
        <w:rPr>
          <w:rFonts w:ascii="Arial" w:eastAsia="Times New Roman" w:hAnsi="Arial"/>
        </w:rPr>
        <w:t xml:space="preserve">and APAC MRA-009 (in the case of remote evaluations) </w:t>
      </w:r>
      <w:r w:rsidRPr="00351AEF">
        <w:rPr>
          <w:rFonts w:ascii="Arial" w:eastAsia="Times New Roman" w:hAnsi="Arial"/>
        </w:rPr>
        <w:t>apply for the conduct of the evaluation;</w:t>
      </w:r>
    </w:p>
    <w:p w14:paraId="07E5DAE6" w14:textId="4C2A556F" w:rsidR="00351AEF" w:rsidRPr="00351AEF" w:rsidRDefault="00351AEF" w:rsidP="00B95F53">
      <w:pPr>
        <w:numPr>
          <w:ilvl w:val="0"/>
          <w:numId w:val="10"/>
        </w:numPr>
        <w:tabs>
          <w:tab w:val="clear" w:pos="360"/>
        </w:tabs>
        <w:spacing w:after="220"/>
        <w:ind w:left="1418" w:hanging="567"/>
        <w:rPr>
          <w:rFonts w:ascii="Arial" w:eastAsia="Times New Roman" w:hAnsi="Arial"/>
        </w:rPr>
      </w:pPr>
      <w:r w:rsidRPr="00351AEF">
        <w:rPr>
          <w:rFonts w:ascii="Arial" w:eastAsia="Times New Roman" w:hAnsi="Arial"/>
        </w:rPr>
        <w:t xml:space="preserve">APAC shall appoint an APAC Lead Evaluator to be a member of the evaluation team. </w:t>
      </w:r>
      <w:r w:rsidR="00462C30" w:rsidRPr="00462C30">
        <w:rPr>
          <w:rFonts w:ascii="Arial" w:eastAsia="Times New Roman" w:hAnsi="Arial"/>
        </w:rPr>
        <w:t xml:space="preserve"> </w:t>
      </w:r>
      <w:r w:rsidRPr="00351AEF">
        <w:rPr>
          <w:rFonts w:ascii="Arial" w:eastAsia="Times New Roman" w:hAnsi="Arial"/>
        </w:rPr>
        <w:t xml:space="preserve">Except where otherwise allowed in the Appendix to </w:t>
      </w:r>
      <w:r w:rsidRPr="00351AEF">
        <w:rPr>
          <w:rFonts w:ascii="Arial" w:eastAsia="Times New Roman" w:hAnsi="Arial"/>
        </w:rPr>
        <w:lastRenderedPageBreak/>
        <w:t xml:space="preserve">this document, the APAC Lead Evaluator shall be the Evaluation Team Leader; </w:t>
      </w:r>
    </w:p>
    <w:p w14:paraId="180B4EF2" w14:textId="77777777" w:rsidR="00351AEF" w:rsidRPr="00351AEF" w:rsidRDefault="00351AEF" w:rsidP="00B95F53">
      <w:pPr>
        <w:spacing w:after="220"/>
        <w:ind w:left="1418" w:hanging="567"/>
        <w:rPr>
          <w:rFonts w:ascii="Arial" w:eastAsia="Times New Roman" w:hAnsi="Arial"/>
          <w:i/>
        </w:rPr>
      </w:pPr>
      <w:r w:rsidRPr="00351AEF">
        <w:rPr>
          <w:rFonts w:ascii="Arial" w:eastAsia="Times New Roman" w:hAnsi="Arial"/>
        </w:rPr>
        <w:tab/>
      </w:r>
      <w:r w:rsidRPr="00351AEF">
        <w:rPr>
          <w:rFonts w:ascii="Arial" w:eastAsia="Times New Roman" w:hAnsi="Arial"/>
          <w:i/>
        </w:rPr>
        <w:t>NOTE:</w:t>
      </w:r>
      <w:r w:rsidRPr="00351AEF">
        <w:rPr>
          <w:rFonts w:ascii="Arial" w:eastAsia="Times New Roman" w:hAnsi="Arial"/>
          <w:i/>
        </w:rPr>
        <w:tab/>
        <w:t>There may be occasions when the other cooperation body has more involvement with the applicant accreditation body, in which cases it would be more appropriate for the other cooperation body to provide the Team Leader.</w:t>
      </w:r>
    </w:p>
    <w:p w14:paraId="50A166A3" w14:textId="2F864B34" w:rsidR="00351AEF" w:rsidRPr="00351AEF" w:rsidRDefault="00351AEF" w:rsidP="00B95F53">
      <w:pPr>
        <w:numPr>
          <w:ilvl w:val="0"/>
          <w:numId w:val="10"/>
        </w:numPr>
        <w:tabs>
          <w:tab w:val="clear" w:pos="360"/>
        </w:tabs>
        <w:spacing w:after="220"/>
        <w:ind w:left="1418" w:hanging="567"/>
        <w:rPr>
          <w:rFonts w:ascii="Arial" w:eastAsia="Times New Roman" w:hAnsi="Arial"/>
        </w:rPr>
      </w:pPr>
      <w:r w:rsidRPr="00351AEF">
        <w:rPr>
          <w:rFonts w:ascii="Arial" w:eastAsia="Times New Roman" w:hAnsi="Arial"/>
        </w:rPr>
        <w:t xml:space="preserve">Except where otherwise allowed in the Appendix to this document, APAC provides evaluators to cover all technical scopes covered by the (proposed) scope of recognition. </w:t>
      </w:r>
      <w:r w:rsidR="00462C30">
        <w:rPr>
          <w:rFonts w:ascii="Arial" w:eastAsia="Times New Roman" w:hAnsi="Arial"/>
        </w:rPr>
        <w:t xml:space="preserve"> </w:t>
      </w:r>
      <w:r w:rsidRPr="00351AEF">
        <w:rPr>
          <w:rFonts w:ascii="Arial" w:eastAsia="Times New Roman" w:hAnsi="Arial"/>
        </w:rPr>
        <w:t xml:space="preserve">Evaluators from the other cooperation body will generally be acceptable to APAC only when the specific scope being evaluated is within the </w:t>
      </w:r>
      <w:r w:rsidR="00462C30">
        <w:rPr>
          <w:rFonts w:ascii="Arial" w:eastAsia="Times New Roman" w:hAnsi="Arial"/>
        </w:rPr>
        <w:t xml:space="preserve">IAF or </w:t>
      </w:r>
      <w:r w:rsidRPr="00351AEF">
        <w:rPr>
          <w:rFonts w:ascii="Arial" w:eastAsia="Times New Roman" w:hAnsi="Arial"/>
        </w:rPr>
        <w:t xml:space="preserve">ILAC scope of recognition of an </w:t>
      </w:r>
      <w:r w:rsidR="00462C30">
        <w:rPr>
          <w:rFonts w:ascii="Arial" w:eastAsia="Times New Roman" w:hAnsi="Arial"/>
        </w:rPr>
        <w:t xml:space="preserve">IAF or </w:t>
      </w:r>
      <w:r w:rsidRPr="00351AEF">
        <w:rPr>
          <w:rFonts w:ascii="Arial" w:eastAsia="Times New Roman" w:hAnsi="Arial"/>
        </w:rPr>
        <w:t>ILAC-recognised cooperation body;</w:t>
      </w:r>
    </w:p>
    <w:p w14:paraId="1089D301" w14:textId="288E2645" w:rsidR="00351AEF" w:rsidRPr="00351AEF" w:rsidRDefault="00351AEF" w:rsidP="00B95F53">
      <w:pPr>
        <w:numPr>
          <w:ilvl w:val="0"/>
          <w:numId w:val="10"/>
        </w:numPr>
        <w:tabs>
          <w:tab w:val="clear" w:pos="360"/>
        </w:tabs>
        <w:spacing w:after="220"/>
        <w:ind w:left="1418" w:hanging="567"/>
        <w:rPr>
          <w:rFonts w:ascii="Arial" w:eastAsia="Times New Roman" w:hAnsi="Arial"/>
        </w:rPr>
      </w:pPr>
      <w:r w:rsidRPr="00351AEF">
        <w:rPr>
          <w:rFonts w:ascii="Arial" w:eastAsia="Times New Roman" w:hAnsi="Arial"/>
        </w:rPr>
        <w:t xml:space="preserve">Except where otherwise allowed in the Appendix to this document, the other cooperation body shall provide their own qualified evaluators with competencies as required by the APAC Team Leader. </w:t>
      </w:r>
      <w:r w:rsidRPr="00351AEF">
        <w:rPr>
          <w:rFonts w:ascii="Arial" w:eastAsia="Times New Roman" w:hAnsi="Arial" w:cs="Arial"/>
          <w:szCs w:val="24"/>
        </w:rPr>
        <w:t>When the Team Leader is from the other cooperation body, APAC shall attempt to provide evaluators with competencies as required by the other cooperation body</w:t>
      </w:r>
      <w:r w:rsidRPr="00351AEF">
        <w:rPr>
          <w:rFonts w:ascii="Arial" w:eastAsia="Times New Roman" w:hAnsi="Arial"/>
        </w:rPr>
        <w:t>;</w:t>
      </w:r>
    </w:p>
    <w:p w14:paraId="5FF22BCE" w14:textId="41C8F629" w:rsidR="008215C0" w:rsidRPr="00351AEF" w:rsidRDefault="00462C30" w:rsidP="00B95F53">
      <w:pPr>
        <w:numPr>
          <w:ilvl w:val="0"/>
          <w:numId w:val="10"/>
        </w:numPr>
        <w:tabs>
          <w:tab w:val="clear" w:pos="360"/>
        </w:tabs>
        <w:spacing w:after="220"/>
        <w:ind w:left="1418" w:hanging="567"/>
        <w:rPr>
          <w:rFonts w:ascii="Arial" w:eastAsia="Times New Roman" w:hAnsi="Arial"/>
        </w:rPr>
      </w:pPr>
      <w:r w:rsidRPr="001B21BE">
        <w:rPr>
          <w:rFonts w:ascii="Arial" w:eastAsia="Times New Roman" w:hAnsi="Arial"/>
        </w:rPr>
        <w:t>A</w:t>
      </w:r>
      <w:r w:rsidR="00351AEF" w:rsidRPr="00351AEF">
        <w:rPr>
          <w:rFonts w:ascii="Arial" w:eastAsia="Times New Roman" w:hAnsi="Arial"/>
        </w:rPr>
        <w:t xml:space="preserve"> failure by the other cooperation body to provide the names of appropriate evaluators at least 3 months prior to the scheduled date of the evaluation will lead to the evaluation reverting to an APAC-only evaluation.</w:t>
      </w:r>
    </w:p>
    <w:p w14:paraId="655E2D25" w14:textId="1AE8FE02" w:rsidR="008215C0" w:rsidRPr="00987845" w:rsidRDefault="008215C0" w:rsidP="00B95F53">
      <w:pPr>
        <w:pStyle w:val="ITISHeading1"/>
        <w:numPr>
          <w:ilvl w:val="0"/>
          <w:numId w:val="21"/>
        </w:numPr>
        <w:ind w:left="851" w:hanging="851"/>
        <w:rPr>
          <w:lang w:eastAsia="ja-JP"/>
        </w:rPr>
      </w:pPr>
      <w:bookmarkStart w:id="5" w:name="_Toc530561306"/>
      <w:r>
        <w:rPr>
          <w:lang w:eastAsia="ja-JP"/>
        </w:rPr>
        <w:t>REVERSION TO APAC-ONLY EVALUATION</w:t>
      </w:r>
      <w:bookmarkEnd w:id="5"/>
    </w:p>
    <w:p w14:paraId="2DA5B977" w14:textId="05313827" w:rsidR="00351AEF" w:rsidRPr="00351AEF" w:rsidRDefault="00351AEF" w:rsidP="00B95F53">
      <w:pPr>
        <w:spacing w:after="220"/>
        <w:ind w:left="851"/>
        <w:rPr>
          <w:rFonts w:ascii="Arial" w:eastAsia="Times New Roman" w:hAnsi="Arial"/>
        </w:rPr>
      </w:pPr>
      <w:r w:rsidRPr="00351AEF">
        <w:rPr>
          <w:rFonts w:ascii="Arial" w:eastAsia="Times New Roman" w:hAnsi="Arial"/>
        </w:rPr>
        <w:t xml:space="preserve">The APAC Lead Evaluator should identify possible “back-up” APAC evaluators who can be used to complete the evaluation team in the event of the evaluation reverting to an APAC-only evaluation. </w:t>
      </w:r>
    </w:p>
    <w:p w14:paraId="3A94BBB4" w14:textId="7AFA1BA5" w:rsidR="00351AEF" w:rsidRPr="00351AEF" w:rsidRDefault="00351AEF" w:rsidP="00B95F53">
      <w:pPr>
        <w:spacing w:after="220"/>
        <w:ind w:left="851" w:hanging="851"/>
        <w:rPr>
          <w:rFonts w:ascii="Arial" w:eastAsia="Times New Roman" w:hAnsi="Arial" w:cs="Arial"/>
          <w:szCs w:val="24"/>
        </w:rPr>
      </w:pPr>
      <w:r w:rsidRPr="00351AEF">
        <w:rPr>
          <w:rFonts w:ascii="Arial" w:eastAsia="Times New Roman" w:hAnsi="Arial"/>
        </w:rPr>
        <w:tab/>
      </w:r>
      <w:r w:rsidRPr="00351AEF">
        <w:rPr>
          <w:rFonts w:ascii="Arial" w:eastAsia="Times New Roman" w:hAnsi="Arial" w:cs="Arial"/>
          <w:szCs w:val="24"/>
        </w:rPr>
        <w:t>When a joint evaluation reverts to an APAC-only evaluation, the previously appointed APAC Lead Evaluator shall assume the role of Team Leader.</w:t>
      </w:r>
    </w:p>
    <w:p w14:paraId="682DADEE" w14:textId="559860C7" w:rsidR="00351AEF" w:rsidRPr="00E80761" w:rsidRDefault="00351AEF" w:rsidP="00B95F53">
      <w:pPr>
        <w:spacing w:after="220"/>
        <w:ind w:left="851" w:hanging="851"/>
        <w:rPr>
          <w:rFonts w:ascii="Arial" w:hAnsi="Arial" w:cs="Arial"/>
        </w:rPr>
      </w:pPr>
      <w:r w:rsidRPr="00351AEF">
        <w:rPr>
          <w:rFonts w:ascii="Arial" w:eastAsia="Times New Roman" w:hAnsi="Arial" w:cs="Arial"/>
          <w:szCs w:val="24"/>
        </w:rPr>
        <w:tab/>
        <w:t>When a joint evaluation reverts to an APAC-only evaluation, APAC shall notify the other cooperation body and the AB who solicited the joint evaluation about the evaluation becoming an APAC-only evaluation.</w:t>
      </w:r>
    </w:p>
    <w:p w14:paraId="0166774F" w14:textId="076808B7" w:rsidR="00810FF6" w:rsidRPr="00572208" w:rsidRDefault="009324E3" w:rsidP="00B95F53">
      <w:pPr>
        <w:pStyle w:val="ITISHeading1"/>
        <w:numPr>
          <w:ilvl w:val="0"/>
          <w:numId w:val="21"/>
        </w:numPr>
        <w:ind w:left="851" w:hanging="851"/>
        <w:rPr>
          <w:lang w:val="en-US" w:eastAsia="en-AU"/>
        </w:rPr>
      </w:pPr>
      <w:bookmarkStart w:id="6" w:name="_Toc530561307"/>
      <w:r>
        <w:rPr>
          <w:lang w:val="en-US" w:eastAsia="en-AU"/>
        </w:rPr>
        <w:t>A</w:t>
      </w:r>
      <w:r w:rsidR="00810FF6" w:rsidRPr="00572208">
        <w:rPr>
          <w:lang w:val="en-US" w:eastAsia="en-AU"/>
        </w:rPr>
        <w:t>MENDMENT TABLE</w:t>
      </w:r>
      <w:bookmarkEnd w:id="6"/>
    </w:p>
    <w:p w14:paraId="6B5B369B" w14:textId="2FFC8748" w:rsidR="00810FF6" w:rsidRPr="00810FF6" w:rsidRDefault="00810FF6" w:rsidP="00B95F53">
      <w:pPr>
        <w:tabs>
          <w:tab w:val="left" w:pos="1080"/>
          <w:tab w:val="left" w:pos="1276"/>
        </w:tabs>
        <w:spacing w:after="220"/>
        <w:ind w:left="851"/>
        <w:rPr>
          <w:rFonts w:ascii="Arial" w:eastAsia="Times New Roman" w:hAnsi="Arial"/>
          <w:szCs w:val="22"/>
          <w:lang w:val="en-US" w:eastAsia="en-AU"/>
        </w:rPr>
      </w:pPr>
      <w:r w:rsidRPr="00810FF6">
        <w:rPr>
          <w:rFonts w:ascii="Arial" w:eastAsia="Times New Roman" w:hAnsi="Arial"/>
          <w:szCs w:val="22"/>
          <w:lang w:val="en-US" w:eastAsia="en-AU"/>
        </w:rPr>
        <w:t>This table provides a summary of the changes to the document with this issue.</w:t>
      </w:r>
    </w:p>
    <w:tbl>
      <w:tblPr>
        <w:tblStyle w:val="TableGrid1"/>
        <w:tblW w:w="0" w:type="auto"/>
        <w:tblLook w:val="04A0" w:firstRow="1" w:lastRow="0" w:firstColumn="1" w:lastColumn="0" w:noHBand="0" w:noVBand="1"/>
      </w:tblPr>
      <w:tblGrid>
        <w:gridCol w:w="4264"/>
        <w:gridCol w:w="4264"/>
      </w:tblGrid>
      <w:tr w:rsidR="00810FF6" w:rsidRPr="00810FF6" w14:paraId="6AA2ABF0" w14:textId="77777777" w:rsidTr="003A50DA">
        <w:tc>
          <w:tcPr>
            <w:tcW w:w="4264" w:type="dxa"/>
          </w:tcPr>
          <w:p w14:paraId="254ACF5F" w14:textId="77777777" w:rsidR="00810FF6" w:rsidRPr="00810FF6" w:rsidRDefault="00810FF6" w:rsidP="00C16988">
            <w:pPr>
              <w:tabs>
                <w:tab w:val="left" w:pos="1080"/>
                <w:tab w:val="left" w:pos="1276"/>
              </w:tabs>
              <w:spacing w:after="220"/>
              <w:jc w:val="left"/>
              <w:rPr>
                <w:rFonts w:ascii="Arial" w:hAnsi="Arial"/>
                <w:b/>
                <w:szCs w:val="22"/>
                <w:lang w:val="en-US" w:eastAsia="en-AU"/>
              </w:rPr>
            </w:pPr>
            <w:r w:rsidRPr="00810FF6">
              <w:rPr>
                <w:rFonts w:ascii="Arial" w:hAnsi="Arial"/>
                <w:b/>
                <w:szCs w:val="22"/>
                <w:lang w:val="en-US" w:eastAsia="en-AU"/>
              </w:rPr>
              <w:t>Section(s)</w:t>
            </w:r>
          </w:p>
        </w:tc>
        <w:tc>
          <w:tcPr>
            <w:tcW w:w="4264" w:type="dxa"/>
          </w:tcPr>
          <w:p w14:paraId="42023B1D" w14:textId="77777777" w:rsidR="00810FF6" w:rsidRPr="00810FF6" w:rsidRDefault="00810FF6" w:rsidP="00C16988">
            <w:pPr>
              <w:tabs>
                <w:tab w:val="left" w:pos="1080"/>
                <w:tab w:val="left" w:pos="1276"/>
              </w:tabs>
              <w:spacing w:after="220"/>
              <w:jc w:val="left"/>
              <w:rPr>
                <w:rFonts w:ascii="Arial" w:hAnsi="Arial"/>
                <w:b/>
                <w:szCs w:val="22"/>
                <w:lang w:val="en-US" w:eastAsia="en-AU"/>
              </w:rPr>
            </w:pPr>
            <w:r w:rsidRPr="00810FF6">
              <w:rPr>
                <w:rFonts w:ascii="Arial" w:hAnsi="Arial"/>
                <w:b/>
                <w:szCs w:val="22"/>
                <w:lang w:val="en-US" w:eastAsia="en-AU"/>
              </w:rPr>
              <w:t>Amendment(s)</w:t>
            </w:r>
          </w:p>
        </w:tc>
      </w:tr>
      <w:tr w:rsidR="00C16988" w:rsidRPr="00810FF6" w14:paraId="3F2B290C" w14:textId="77777777" w:rsidTr="003A50DA">
        <w:tc>
          <w:tcPr>
            <w:tcW w:w="4264" w:type="dxa"/>
          </w:tcPr>
          <w:p w14:paraId="537BD622" w14:textId="61A4B5A3" w:rsidR="00C16988" w:rsidRDefault="00C16988" w:rsidP="00C16988">
            <w:pPr>
              <w:tabs>
                <w:tab w:val="left" w:pos="1080"/>
                <w:tab w:val="left" w:pos="1276"/>
              </w:tabs>
              <w:spacing w:after="220"/>
              <w:jc w:val="left"/>
              <w:rPr>
                <w:rFonts w:ascii="Arial" w:hAnsi="Arial"/>
                <w:szCs w:val="22"/>
                <w:lang w:val="en-US" w:eastAsia="en-AU"/>
              </w:rPr>
            </w:pPr>
            <w:r>
              <w:rPr>
                <w:rFonts w:ascii="Arial" w:hAnsi="Arial"/>
                <w:szCs w:val="22"/>
                <w:lang w:val="en-US" w:eastAsia="en-AU"/>
              </w:rPr>
              <w:t>All</w:t>
            </w:r>
          </w:p>
        </w:tc>
        <w:tc>
          <w:tcPr>
            <w:tcW w:w="4264" w:type="dxa"/>
          </w:tcPr>
          <w:p w14:paraId="50D2B9B5" w14:textId="389B0BD3" w:rsidR="00C16988" w:rsidRDefault="00887C71" w:rsidP="00C16988">
            <w:pPr>
              <w:tabs>
                <w:tab w:val="left" w:pos="1080"/>
                <w:tab w:val="left" w:pos="1276"/>
              </w:tabs>
              <w:spacing w:after="220"/>
              <w:jc w:val="left"/>
              <w:rPr>
                <w:rFonts w:ascii="Arial" w:hAnsi="Arial"/>
                <w:szCs w:val="22"/>
                <w:lang w:val="en-US" w:eastAsia="en-AU"/>
              </w:rPr>
            </w:pPr>
            <w:r>
              <w:rPr>
                <w:rFonts w:ascii="Arial" w:hAnsi="Arial"/>
                <w:szCs w:val="22"/>
                <w:lang w:val="en-US" w:eastAsia="en-AU"/>
              </w:rPr>
              <w:t>Updated to include reference to APAC MRA-009 for remote evaluations and r</w:t>
            </w:r>
            <w:r w:rsidR="00C16988">
              <w:rPr>
                <w:rFonts w:ascii="Arial" w:hAnsi="Arial"/>
                <w:szCs w:val="22"/>
                <w:lang w:val="en-US" w:eastAsia="en-AU"/>
              </w:rPr>
              <w:t xml:space="preserve">emoval of reference to Recommendation Letter as this is now already include in the </w:t>
            </w:r>
            <w:r w:rsidR="00C16988" w:rsidRPr="00C16988">
              <w:rPr>
                <w:rFonts w:ascii="Arial" w:hAnsi="Arial"/>
                <w:szCs w:val="22"/>
                <w:lang w:val="en-US" w:eastAsia="en-AU"/>
              </w:rPr>
              <w:t>IAF/ILAC A3 template</w:t>
            </w:r>
            <w:r w:rsidR="00C16988">
              <w:rPr>
                <w:rFonts w:ascii="Arial" w:hAnsi="Arial"/>
                <w:szCs w:val="22"/>
                <w:lang w:val="en-US" w:eastAsia="en-AU"/>
              </w:rPr>
              <w:t>.</w:t>
            </w:r>
          </w:p>
        </w:tc>
      </w:tr>
      <w:tr w:rsidR="00F513CD" w:rsidRPr="00810FF6" w14:paraId="4E3880EB" w14:textId="77777777" w:rsidTr="003A50DA">
        <w:tc>
          <w:tcPr>
            <w:tcW w:w="4264" w:type="dxa"/>
          </w:tcPr>
          <w:p w14:paraId="7F64368C" w14:textId="0A4EC5C5" w:rsidR="00F513CD" w:rsidRPr="00810FF6" w:rsidRDefault="00F513CD" w:rsidP="00C16988">
            <w:pPr>
              <w:tabs>
                <w:tab w:val="left" w:pos="1080"/>
                <w:tab w:val="left" w:pos="1276"/>
              </w:tabs>
              <w:spacing w:after="220"/>
              <w:jc w:val="left"/>
              <w:rPr>
                <w:rFonts w:ascii="Arial" w:hAnsi="Arial"/>
                <w:szCs w:val="22"/>
                <w:lang w:val="en-US" w:eastAsia="en-AU"/>
              </w:rPr>
            </w:pPr>
            <w:r>
              <w:rPr>
                <w:rFonts w:ascii="Arial" w:hAnsi="Arial"/>
                <w:szCs w:val="22"/>
                <w:lang w:val="en-US" w:eastAsia="en-AU"/>
              </w:rPr>
              <w:t>9 b)</w:t>
            </w:r>
          </w:p>
        </w:tc>
        <w:tc>
          <w:tcPr>
            <w:tcW w:w="4264" w:type="dxa"/>
          </w:tcPr>
          <w:p w14:paraId="428D9FCE" w14:textId="0194A5B9" w:rsidR="00F513CD" w:rsidRPr="003411BD" w:rsidRDefault="00F513CD" w:rsidP="00C16988">
            <w:pPr>
              <w:tabs>
                <w:tab w:val="left" w:pos="1080"/>
                <w:tab w:val="left" w:pos="1276"/>
              </w:tabs>
              <w:spacing w:after="220"/>
              <w:jc w:val="left"/>
              <w:rPr>
                <w:rFonts w:ascii="Arial" w:hAnsi="Arial"/>
                <w:szCs w:val="22"/>
                <w:lang w:val="en-US" w:eastAsia="en-AU"/>
              </w:rPr>
            </w:pPr>
            <w:r>
              <w:rPr>
                <w:rFonts w:ascii="Arial" w:hAnsi="Arial"/>
                <w:szCs w:val="22"/>
                <w:lang w:val="en-US" w:eastAsia="en-AU"/>
              </w:rPr>
              <w:t xml:space="preserve">Minor editorial amendment to remove reference to ‘concerns’ as no longer </w:t>
            </w:r>
            <w:r>
              <w:rPr>
                <w:rFonts w:ascii="Arial" w:hAnsi="Arial"/>
                <w:szCs w:val="22"/>
                <w:lang w:val="en-US" w:eastAsia="en-AU"/>
              </w:rPr>
              <w:lastRenderedPageBreak/>
              <w:t>included in IAF/ILAC A3 template.</w:t>
            </w:r>
          </w:p>
        </w:tc>
      </w:tr>
      <w:tr w:rsidR="00810FF6" w:rsidRPr="00810FF6" w14:paraId="5CB13FE4" w14:textId="77777777" w:rsidTr="003A50DA">
        <w:tc>
          <w:tcPr>
            <w:tcW w:w="4264" w:type="dxa"/>
          </w:tcPr>
          <w:p w14:paraId="7DAAFF4F" w14:textId="77777777" w:rsidR="00810FF6" w:rsidRPr="00810FF6" w:rsidRDefault="00810FF6" w:rsidP="00C16988">
            <w:pPr>
              <w:tabs>
                <w:tab w:val="left" w:pos="1080"/>
                <w:tab w:val="left" w:pos="1276"/>
              </w:tabs>
              <w:spacing w:after="220"/>
              <w:jc w:val="left"/>
              <w:rPr>
                <w:rFonts w:ascii="Arial" w:hAnsi="Arial"/>
                <w:szCs w:val="22"/>
                <w:lang w:val="en-US" w:eastAsia="en-AU"/>
              </w:rPr>
            </w:pPr>
            <w:r w:rsidRPr="00810FF6">
              <w:rPr>
                <w:rFonts w:ascii="Arial" w:hAnsi="Arial"/>
                <w:szCs w:val="22"/>
                <w:lang w:val="en-US" w:eastAsia="en-AU"/>
              </w:rPr>
              <w:lastRenderedPageBreak/>
              <w:t>All</w:t>
            </w:r>
          </w:p>
        </w:tc>
        <w:tc>
          <w:tcPr>
            <w:tcW w:w="4264" w:type="dxa"/>
          </w:tcPr>
          <w:p w14:paraId="6CD2591B" w14:textId="755DBC7F" w:rsidR="00810FF6" w:rsidRPr="00810FF6" w:rsidRDefault="003411BD" w:rsidP="00C16988">
            <w:pPr>
              <w:tabs>
                <w:tab w:val="left" w:pos="1080"/>
                <w:tab w:val="left" w:pos="1276"/>
              </w:tabs>
              <w:spacing w:after="220"/>
              <w:jc w:val="left"/>
              <w:rPr>
                <w:rFonts w:ascii="Arial" w:hAnsi="Arial"/>
                <w:szCs w:val="22"/>
                <w:lang w:val="en-US" w:eastAsia="en-AU"/>
              </w:rPr>
            </w:pPr>
            <w:r w:rsidRPr="003411BD">
              <w:rPr>
                <w:rFonts w:ascii="Arial" w:hAnsi="Arial"/>
                <w:szCs w:val="22"/>
                <w:lang w:val="en-US" w:eastAsia="en-AU"/>
              </w:rPr>
              <w:t xml:space="preserve">New issue on establishment of APAC.  Document based upon APLAC MR </w:t>
            </w:r>
            <w:r w:rsidR="00480944">
              <w:rPr>
                <w:rFonts w:ascii="Arial" w:hAnsi="Arial"/>
                <w:szCs w:val="22"/>
                <w:lang w:val="en-US" w:eastAsia="en-AU"/>
              </w:rPr>
              <w:t>0</w:t>
            </w:r>
            <w:r w:rsidR="008964FD">
              <w:rPr>
                <w:rFonts w:ascii="Arial" w:hAnsi="Arial"/>
                <w:szCs w:val="22"/>
                <w:lang w:val="en-US" w:eastAsia="en-AU"/>
              </w:rPr>
              <w:t>06</w:t>
            </w:r>
            <w:r w:rsidRPr="003411BD">
              <w:rPr>
                <w:rFonts w:ascii="Arial" w:hAnsi="Arial"/>
                <w:szCs w:val="22"/>
                <w:lang w:val="en-US" w:eastAsia="en-AU"/>
              </w:rPr>
              <w:t xml:space="preserve"> Issue </w:t>
            </w:r>
            <w:r w:rsidR="008964FD">
              <w:rPr>
                <w:rFonts w:ascii="Arial" w:hAnsi="Arial"/>
                <w:szCs w:val="22"/>
                <w:lang w:val="en-US" w:eastAsia="en-AU"/>
              </w:rPr>
              <w:t>4</w:t>
            </w:r>
          </w:p>
        </w:tc>
      </w:tr>
      <w:tr w:rsidR="00810FF6" w:rsidRPr="00810FF6" w14:paraId="0F6B68EE" w14:textId="77777777" w:rsidTr="003A50DA">
        <w:tc>
          <w:tcPr>
            <w:tcW w:w="4264" w:type="dxa"/>
          </w:tcPr>
          <w:p w14:paraId="16ECFB00" w14:textId="77777777" w:rsidR="00810FF6" w:rsidRPr="00810FF6" w:rsidRDefault="00810FF6" w:rsidP="00C16988">
            <w:pPr>
              <w:tabs>
                <w:tab w:val="left" w:pos="1080"/>
                <w:tab w:val="left" w:pos="1276"/>
              </w:tabs>
              <w:spacing w:after="220"/>
              <w:jc w:val="left"/>
              <w:rPr>
                <w:rFonts w:ascii="Arial" w:hAnsi="Arial"/>
                <w:szCs w:val="22"/>
                <w:lang w:val="en-US" w:eastAsia="en-AU"/>
              </w:rPr>
            </w:pPr>
            <w:r w:rsidRPr="00810FF6">
              <w:rPr>
                <w:rFonts w:ascii="Arial" w:hAnsi="Arial"/>
                <w:szCs w:val="22"/>
                <w:lang w:val="en-US" w:eastAsia="en-AU"/>
              </w:rPr>
              <w:t>End</w:t>
            </w:r>
          </w:p>
        </w:tc>
        <w:tc>
          <w:tcPr>
            <w:tcW w:w="4264" w:type="dxa"/>
          </w:tcPr>
          <w:p w14:paraId="1C65FB6E" w14:textId="77777777" w:rsidR="00810FF6" w:rsidRPr="00810FF6" w:rsidRDefault="00810FF6" w:rsidP="00C16988">
            <w:pPr>
              <w:tabs>
                <w:tab w:val="left" w:pos="1080"/>
                <w:tab w:val="left" w:pos="1276"/>
              </w:tabs>
              <w:spacing w:after="220"/>
              <w:jc w:val="left"/>
              <w:rPr>
                <w:rFonts w:ascii="Arial" w:hAnsi="Arial"/>
                <w:szCs w:val="22"/>
                <w:lang w:val="en-US" w:eastAsia="en-AU"/>
              </w:rPr>
            </w:pPr>
          </w:p>
        </w:tc>
      </w:tr>
    </w:tbl>
    <w:p w14:paraId="78C20F18" w14:textId="274A2311" w:rsidR="00106087" w:rsidRDefault="00106087" w:rsidP="00B95F53">
      <w:pPr>
        <w:rPr>
          <w:rFonts w:ascii="Arial" w:hAnsi="Arial" w:cs="Arial"/>
          <w:b/>
          <w:sz w:val="24"/>
          <w:szCs w:val="24"/>
        </w:rPr>
      </w:pPr>
    </w:p>
    <w:p w14:paraId="623013B9" w14:textId="69718429" w:rsidR="00351AEF" w:rsidRDefault="00351AEF">
      <w:pPr>
        <w:jc w:val="left"/>
        <w:rPr>
          <w:rFonts w:ascii="Arial" w:hAnsi="Arial" w:cs="Arial"/>
          <w:b/>
          <w:sz w:val="24"/>
          <w:szCs w:val="24"/>
        </w:rPr>
      </w:pPr>
      <w:r>
        <w:rPr>
          <w:rFonts w:ascii="Arial" w:hAnsi="Arial" w:cs="Arial"/>
          <w:b/>
          <w:sz w:val="24"/>
          <w:szCs w:val="24"/>
        </w:rPr>
        <w:br w:type="page"/>
      </w:r>
    </w:p>
    <w:p w14:paraId="2149EE67" w14:textId="38E276BB" w:rsidR="00351AEF" w:rsidRDefault="00351AEF" w:rsidP="00351AEF">
      <w:pPr>
        <w:jc w:val="left"/>
        <w:rPr>
          <w:rFonts w:ascii="Arial" w:eastAsia="Times New Roman" w:hAnsi="Arial" w:cs="Arial"/>
          <w:szCs w:val="22"/>
          <w:lang w:val="en-NZ" w:eastAsia="en-NZ"/>
        </w:rPr>
      </w:pPr>
    </w:p>
    <w:p w14:paraId="38510957" w14:textId="01A0D14E" w:rsidR="008215C0" w:rsidRPr="00987845" w:rsidRDefault="00F50531" w:rsidP="00840478">
      <w:pPr>
        <w:pStyle w:val="ITISHeading1"/>
        <w:numPr>
          <w:ilvl w:val="0"/>
          <w:numId w:val="0"/>
        </w:numPr>
        <w:rPr>
          <w:lang w:eastAsia="ja-JP"/>
        </w:rPr>
      </w:pPr>
      <w:bookmarkStart w:id="7" w:name="_Toc530561308"/>
      <w:r>
        <w:rPr>
          <w:lang w:eastAsia="ja-JP"/>
        </w:rPr>
        <w:t>APPENDIX</w:t>
      </w:r>
      <w:r w:rsidR="008215C0">
        <w:rPr>
          <w:lang w:eastAsia="ja-JP"/>
        </w:rPr>
        <w:t xml:space="preserve"> A - </w:t>
      </w:r>
      <w:r w:rsidR="008215C0" w:rsidRPr="008215C0">
        <w:rPr>
          <w:lang w:eastAsia="ja-JP"/>
        </w:rPr>
        <w:t>PROCEDURES FOR THE CONDUCT OF JOINT APAC/IAAC EVALUATIONS</w:t>
      </w:r>
      <w:bookmarkEnd w:id="7"/>
    </w:p>
    <w:p w14:paraId="70068361" w14:textId="67B141D3" w:rsidR="00351AEF" w:rsidRPr="00351AEF" w:rsidRDefault="00351AEF" w:rsidP="00B95F53">
      <w:pPr>
        <w:spacing w:after="220"/>
        <w:rPr>
          <w:rFonts w:ascii="Arial" w:eastAsia="Times New Roman" w:hAnsi="Arial" w:cs="Arial"/>
          <w:b/>
          <w:szCs w:val="22"/>
          <w:lang w:val="en-NZ" w:eastAsia="en-NZ"/>
        </w:rPr>
      </w:pPr>
      <w:r w:rsidRPr="00351AEF">
        <w:rPr>
          <w:rFonts w:ascii="Arial" w:eastAsia="Times New Roman" w:hAnsi="Arial" w:cs="Arial"/>
          <w:b/>
          <w:szCs w:val="22"/>
          <w:lang w:val="en-NZ" w:eastAsia="en-NZ"/>
        </w:rPr>
        <w:t>Introduction</w:t>
      </w:r>
    </w:p>
    <w:p w14:paraId="4D742B6E" w14:textId="77777777" w:rsidR="005B3D3C" w:rsidRDefault="00351AEF" w:rsidP="00B95F53">
      <w:p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APAC and the </w:t>
      </w:r>
      <w:r w:rsidR="0018275F" w:rsidRPr="0018275F">
        <w:rPr>
          <w:rFonts w:ascii="Arial" w:eastAsia="Times New Roman" w:hAnsi="Arial" w:cs="Arial"/>
          <w:szCs w:val="22"/>
          <w:lang w:val="en-NZ" w:eastAsia="en-NZ"/>
        </w:rPr>
        <w:t xml:space="preserve">InterAmerican Accreditation Cooperation </w:t>
      </w:r>
      <w:r w:rsidR="0018275F">
        <w:rPr>
          <w:rFonts w:ascii="Arial" w:eastAsia="Times New Roman" w:hAnsi="Arial" w:cs="Arial"/>
          <w:szCs w:val="22"/>
          <w:lang w:val="en-NZ" w:eastAsia="en-NZ"/>
        </w:rPr>
        <w:t>(</w:t>
      </w:r>
      <w:r w:rsidRPr="00351AEF">
        <w:rPr>
          <w:rFonts w:ascii="Arial" w:eastAsia="Times New Roman" w:hAnsi="Arial" w:cs="Arial"/>
          <w:szCs w:val="22"/>
          <w:lang w:val="en-NZ" w:eastAsia="en-NZ"/>
        </w:rPr>
        <w:t>IAAC</w:t>
      </w:r>
      <w:r w:rsidR="0018275F">
        <w:rPr>
          <w:rFonts w:ascii="Arial" w:eastAsia="Times New Roman" w:hAnsi="Arial" w:cs="Arial"/>
          <w:szCs w:val="22"/>
          <w:lang w:val="en-NZ" w:eastAsia="en-NZ"/>
        </w:rPr>
        <w:t>)</w:t>
      </w:r>
      <w:r w:rsidRPr="00351AEF">
        <w:rPr>
          <w:rFonts w:ascii="Arial" w:eastAsia="Times New Roman" w:hAnsi="Arial" w:cs="Arial"/>
          <w:szCs w:val="22"/>
          <w:lang w:val="en-NZ" w:eastAsia="en-NZ"/>
        </w:rPr>
        <w:t xml:space="preserve"> have a number of common accreditation body members who are signatories to both the APAC MRA and IAAC MLA for the same or similar scopes of recognition. In such cases, and where requested by the member accreditation body (the AB), joint evaluations are conducted which produce a single evaluation report for independent consideration by the respective regional decision-making groups. These procedures, intended for use by APAC and IAAC evaluation team leaders and evaluation team members, describe the particular processes to be followed for conducting such a joint evaluation. </w:t>
      </w:r>
    </w:p>
    <w:p w14:paraId="44EB1CC5" w14:textId="7CB2FC37" w:rsidR="00351AEF" w:rsidRPr="00351AEF" w:rsidRDefault="00351AEF" w:rsidP="00B95F53">
      <w:p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The main procedural points set out the general principles to be followed by representatives of both cooperations. The procedures are supplemented by “Notes” which reflect current or historical practice and are intended as a starting point, but the Notes may be modified by mutual consent of the Chairs of the APAC MRA Council and IAAC MLA Committee, the Lead Evaluator (LE) / Team Leader (TL) representatives for both co-operations, and the evaluated AB.</w:t>
      </w:r>
    </w:p>
    <w:p w14:paraId="573EEDB2" w14:textId="77777777" w:rsidR="00351AEF" w:rsidRPr="00351AEF" w:rsidRDefault="00351AEF" w:rsidP="00B95F53">
      <w:pPr>
        <w:spacing w:after="220"/>
        <w:rPr>
          <w:rFonts w:ascii="Arial" w:eastAsia="Times New Roman" w:hAnsi="Arial" w:cs="Arial"/>
          <w:b/>
          <w:szCs w:val="22"/>
          <w:lang w:val="en-NZ" w:eastAsia="en-NZ"/>
        </w:rPr>
      </w:pPr>
      <w:r w:rsidRPr="00351AEF">
        <w:rPr>
          <w:rFonts w:ascii="Arial" w:eastAsia="Times New Roman" w:hAnsi="Arial" w:cs="Arial"/>
          <w:b/>
          <w:szCs w:val="22"/>
          <w:lang w:val="en-NZ" w:eastAsia="en-NZ"/>
        </w:rPr>
        <w:t>Procedures</w:t>
      </w:r>
    </w:p>
    <w:p w14:paraId="1EC6A947" w14:textId="28400E15"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It is the responsibility of the (applicant) accreditation body signatory to both the APAC MRA and IAAC MLA to inform the APAC MRA Council Chair and the IAAC MLA Committee Chair at least two years in advance of the upcoming evaluation that a joint evaluation is requested. Any changes to the scope of the evaluation should be requested at this time. </w:t>
      </w:r>
    </w:p>
    <w:p w14:paraId="59ADC186" w14:textId="2589385B"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t>Note:</w:t>
      </w:r>
      <w:r w:rsidRPr="00351AEF">
        <w:rPr>
          <w:rFonts w:ascii="Arial" w:eastAsia="Times New Roman" w:hAnsi="Arial" w:cs="Arial"/>
          <w:i/>
          <w:szCs w:val="22"/>
          <w:lang w:val="en-NZ" w:eastAsia="en-NZ"/>
        </w:rPr>
        <w:tab/>
        <w:t xml:space="preserve">The APAC MRA Council typically appoints APAC TLs approximately two years in advance of scheduled evaluations. </w:t>
      </w:r>
    </w:p>
    <w:p w14:paraId="2672EC27" w14:textId="411F257C"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The Chairs of the APAC MRA Council and IAAC MLA Committee shall agree, in consultation with the AB, which cooperation will provide the TL for the joint evaluation. Once the appointment of the TL is confirmed by the appointing cooperation in accordance with its procedures, the Chair of the appointing Council/Committee shall, in a timely manner, inform the Chair of the other Council/Committee of the appointment.</w:t>
      </w:r>
    </w:p>
    <w:p w14:paraId="21DA6BD6" w14:textId="02BFF95F"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t>Note:</w:t>
      </w:r>
      <w:r w:rsidRPr="00351AEF">
        <w:rPr>
          <w:rFonts w:ascii="Arial" w:eastAsia="Times New Roman" w:hAnsi="Arial" w:cs="Arial"/>
          <w:i/>
          <w:szCs w:val="22"/>
          <w:lang w:val="en-NZ" w:eastAsia="en-NZ"/>
        </w:rPr>
        <w:tab/>
        <w:t>The APAC MRA Council has typically appointed TLs for their scheduled evaluations well in advance of the IAAC MLA Committee appointments. The IAAC MLA Committee has accepted the APAC TL appointments for their own purposes and thus APAC has provided TLs for the joint evaluations. In these cases, the APAC MRA Council Chair informs the IAAC MLA Chair of the TL appointment(s) once ratified by the APAC MRA Council.</w:t>
      </w:r>
    </w:p>
    <w:p w14:paraId="0963DBC3" w14:textId="40514745"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The evaluation process to be followed by the evaluation team and the AB shall be based primarily on the documented procedures of the regional cooperation from which the TL has been appointed, unless otherwise mutually agreed between the AB and the TL. APAC MR</w:t>
      </w:r>
      <w:r w:rsidR="005B3D3C" w:rsidRPr="005B3D3C">
        <w:rPr>
          <w:rFonts w:ascii="Arial" w:eastAsia="Times New Roman" w:hAnsi="Arial" w:cs="Arial"/>
          <w:szCs w:val="22"/>
          <w:lang w:val="en-NZ" w:eastAsia="en-NZ"/>
        </w:rPr>
        <w:t>A-</w:t>
      </w:r>
      <w:r w:rsidRPr="00351AEF">
        <w:rPr>
          <w:rFonts w:ascii="Arial" w:eastAsia="Times New Roman" w:hAnsi="Arial" w:cs="Arial"/>
          <w:szCs w:val="22"/>
          <w:lang w:val="en-NZ" w:eastAsia="en-NZ"/>
        </w:rPr>
        <w:t xml:space="preserve">001 </w:t>
      </w:r>
      <w:r w:rsidR="00887C71">
        <w:rPr>
          <w:rFonts w:ascii="Arial" w:eastAsia="Times New Roman" w:hAnsi="Arial" w:cs="Arial"/>
          <w:szCs w:val="22"/>
          <w:lang w:val="en-NZ" w:eastAsia="en-NZ"/>
        </w:rPr>
        <w:t xml:space="preserve">and APAC MRA-009 (when remote evaluation is conducted) </w:t>
      </w:r>
      <w:r w:rsidRPr="00351AEF">
        <w:rPr>
          <w:rFonts w:ascii="Arial" w:eastAsia="Times New Roman" w:hAnsi="Arial" w:cs="Arial"/>
          <w:szCs w:val="22"/>
          <w:lang w:val="en-NZ" w:eastAsia="en-NZ"/>
        </w:rPr>
        <w:t>in the case of an APAC TL</w:t>
      </w:r>
      <w:r w:rsidR="00887C71">
        <w:rPr>
          <w:rFonts w:ascii="Arial" w:eastAsia="Times New Roman" w:hAnsi="Arial" w:cs="Arial"/>
          <w:szCs w:val="22"/>
          <w:lang w:val="en-NZ" w:eastAsia="en-NZ"/>
        </w:rPr>
        <w:t>,</w:t>
      </w:r>
      <w:r w:rsidRPr="00351AEF">
        <w:rPr>
          <w:rFonts w:ascii="Arial" w:eastAsia="Times New Roman" w:hAnsi="Arial" w:cs="Arial"/>
          <w:szCs w:val="22"/>
          <w:lang w:val="en-NZ" w:eastAsia="en-NZ"/>
        </w:rPr>
        <w:t xml:space="preserve"> or IAAC MD 002 in the case of an IAAC TL</w:t>
      </w:r>
      <w:r w:rsidR="00887C71">
        <w:rPr>
          <w:rFonts w:ascii="Arial" w:eastAsia="Times New Roman" w:hAnsi="Arial" w:cs="Arial"/>
          <w:szCs w:val="22"/>
          <w:lang w:val="en-NZ" w:eastAsia="en-NZ"/>
        </w:rPr>
        <w:t>,</w:t>
      </w:r>
      <w:r w:rsidRPr="00351AEF">
        <w:rPr>
          <w:rFonts w:ascii="Arial" w:eastAsia="Times New Roman" w:hAnsi="Arial" w:cs="Arial"/>
          <w:szCs w:val="22"/>
          <w:lang w:val="en-NZ" w:eastAsia="en-NZ"/>
        </w:rPr>
        <w:t xml:space="preserve"> shall be the base procedural document adopted, </w:t>
      </w:r>
      <w:r w:rsidRPr="00351AEF">
        <w:rPr>
          <w:rFonts w:ascii="Arial" w:eastAsia="Times New Roman" w:hAnsi="Arial" w:cs="Arial"/>
          <w:szCs w:val="22"/>
          <w:lang w:val="en-NZ" w:eastAsia="en-NZ"/>
        </w:rPr>
        <w:lastRenderedPageBreak/>
        <w:t xml:space="preserve">but in all cases the specific requirements of the complementary document shall be considered and addressed in an appropriate manner. The TL shall inform the AB which is the primary procedural document being used for the evaluation. Notwithstanding the above, the following shall be applied: </w:t>
      </w:r>
    </w:p>
    <w:p w14:paraId="56F286A1" w14:textId="47D75D13" w:rsidR="00351AEF" w:rsidRPr="00351AEF" w:rsidRDefault="005B3D3C" w:rsidP="00B95F53">
      <w:pPr>
        <w:spacing w:after="220"/>
        <w:ind w:left="1985" w:hanging="567"/>
        <w:rPr>
          <w:rFonts w:ascii="Arial" w:eastAsia="Times New Roman" w:hAnsi="Arial" w:cs="Arial"/>
          <w:szCs w:val="22"/>
          <w:lang w:val="en-NZ" w:eastAsia="en-NZ"/>
        </w:rPr>
      </w:pPr>
      <w:r>
        <w:rPr>
          <w:rFonts w:ascii="Arial" w:eastAsia="Times New Roman" w:hAnsi="Arial" w:cs="Arial"/>
          <w:szCs w:val="22"/>
          <w:lang w:val="en-NZ" w:eastAsia="en-NZ"/>
        </w:rPr>
        <w:t>(a)</w:t>
      </w:r>
      <w:r>
        <w:rPr>
          <w:rFonts w:ascii="Arial" w:eastAsia="Times New Roman" w:hAnsi="Arial" w:cs="Arial"/>
          <w:szCs w:val="22"/>
          <w:lang w:val="en-NZ" w:eastAsia="en-NZ"/>
        </w:rPr>
        <w:tab/>
      </w:r>
      <w:r w:rsidR="00351AEF" w:rsidRPr="00351AEF">
        <w:rPr>
          <w:rFonts w:ascii="Arial" w:eastAsia="Times New Roman" w:hAnsi="Arial" w:cs="Arial"/>
          <w:szCs w:val="22"/>
          <w:lang w:val="en-NZ" w:eastAsia="en-NZ"/>
        </w:rPr>
        <w:t xml:space="preserve">The key documentation provided by the AB to the evaluation team (e.g. in the APAC case, Set A as described in APAC </w:t>
      </w:r>
      <w:r>
        <w:rPr>
          <w:rFonts w:ascii="Arial" w:eastAsia="Times New Roman" w:hAnsi="Arial" w:cs="Arial"/>
          <w:szCs w:val="22"/>
          <w:lang w:val="en-NZ" w:eastAsia="en-NZ"/>
        </w:rPr>
        <w:t>F</w:t>
      </w:r>
      <w:r w:rsidR="00351AEF" w:rsidRPr="00351AEF">
        <w:rPr>
          <w:rFonts w:ascii="Arial" w:eastAsia="Times New Roman" w:hAnsi="Arial" w:cs="Arial"/>
          <w:szCs w:val="22"/>
          <w:lang w:val="en-NZ" w:eastAsia="en-NZ"/>
        </w:rPr>
        <w:t>MR</w:t>
      </w:r>
      <w:r>
        <w:rPr>
          <w:rFonts w:ascii="Arial" w:eastAsia="Times New Roman" w:hAnsi="Arial" w:cs="Arial"/>
          <w:szCs w:val="22"/>
          <w:lang w:val="en-NZ" w:eastAsia="en-NZ"/>
        </w:rPr>
        <w:t>A-002</w:t>
      </w:r>
      <w:r w:rsidR="00351AEF" w:rsidRPr="00351AEF">
        <w:rPr>
          <w:rFonts w:ascii="Arial" w:eastAsia="Times New Roman" w:hAnsi="Arial" w:cs="Arial"/>
          <w:szCs w:val="22"/>
          <w:lang w:val="en-NZ" w:eastAsia="en-NZ"/>
        </w:rPr>
        <w:t>, and in the case of IAAC it is described in IAAC FM 001, Item 20) shall be made available in English (as the official language common to both cooperations). For re-evaluations, the IAAC procedures require the AB to provide the evaluation team with the documentation at least 3 months before the evaluation;</w:t>
      </w:r>
    </w:p>
    <w:p w14:paraId="3123B092" w14:textId="526807AD" w:rsidR="00351AEF" w:rsidRPr="00351AEF" w:rsidRDefault="005B3D3C" w:rsidP="00B95F53">
      <w:pPr>
        <w:spacing w:after="220"/>
        <w:ind w:left="1985" w:hanging="567"/>
        <w:rPr>
          <w:rFonts w:ascii="Arial" w:eastAsia="Times New Roman" w:hAnsi="Arial" w:cs="Arial"/>
          <w:szCs w:val="22"/>
          <w:lang w:val="en-NZ" w:eastAsia="en-NZ"/>
        </w:rPr>
      </w:pPr>
      <w:r>
        <w:rPr>
          <w:rFonts w:ascii="Arial" w:eastAsia="Times New Roman" w:hAnsi="Arial" w:cs="Arial"/>
          <w:szCs w:val="22"/>
          <w:lang w:val="en-NZ" w:eastAsia="en-NZ"/>
        </w:rPr>
        <w:t>(b)</w:t>
      </w:r>
      <w:r>
        <w:rPr>
          <w:rFonts w:ascii="Arial" w:eastAsia="Times New Roman" w:hAnsi="Arial" w:cs="Arial"/>
          <w:szCs w:val="22"/>
          <w:lang w:val="en-NZ" w:eastAsia="en-NZ"/>
        </w:rPr>
        <w:tab/>
      </w:r>
      <w:r w:rsidR="00351AEF" w:rsidRPr="00351AEF">
        <w:rPr>
          <w:rFonts w:ascii="Arial" w:eastAsia="Times New Roman" w:hAnsi="Arial" w:cs="Arial"/>
          <w:szCs w:val="22"/>
          <w:lang w:val="en-NZ" w:eastAsia="en-NZ"/>
        </w:rPr>
        <w:t>In accordance with IAAC MD 002, the TL and the evaluated AB shall agree on the language to be used during the on-site evaluation (i.e. English or Spanish) and determine the needs for translation assistance;</w:t>
      </w:r>
    </w:p>
    <w:p w14:paraId="5B073ACC" w14:textId="72F393E9" w:rsidR="00351AEF" w:rsidRPr="00351AEF" w:rsidRDefault="005B3D3C" w:rsidP="00B95F53">
      <w:pPr>
        <w:spacing w:after="220"/>
        <w:ind w:left="1985" w:hanging="567"/>
        <w:rPr>
          <w:rFonts w:ascii="Arial" w:eastAsia="Times New Roman" w:hAnsi="Arial" w:cs="Arial"/>
          <w:szCs w:val="22"/>
          <w:lang w:val="en-NZ" w:eastAsia="en-NZ"/>
        </w:rPr>
      </w:pPr>
      <w:r>
        <w:rPr>
          <w:rFonts w:ascii="Arial" w:eastAsia="Times New Roman" w:hAnsi="Arial" w:cs="Arial"/>
          <w:szCs w:val="22"/>
          <w:lang w:val="en-NZ" w:eastAsia="en-NZ"/>
        </w:rPr>
        <w:t>(c)</w:t>
      </w:r>
      <w:r>
        <w:rPr>
          <w:rFonts w:ascii="Arial" w:eastAsia="Times New Roman" w:hAnsi="Arial" w:cs="Arial"/>
          <w:szCs w:val="22"/>
          <w:lang w:val="en-NZ" w:eastAsia="en-NZ"/>
        </w:rPr>
        <w:tab/>
      </w:r>
      <w:r w:rsidR="00351AEF" w:rsidRPr="00351AEF">
        <w:rPr>
          <w:rFonts w:ascii="Arial" w:eastAsia="Times New Roman" w:hAnsi="Arial" w:cs="Arial"/>
          <w:szCs w:val="22"/>
          <w:lang w:val="en-NZ" w:eastAsia="en-NZ"/>
        </w:rPr>
        <w:t>The evaluation report shall be in English.</w:t>
      </w:r>
    </w:p>
    <w:p w14:paraId="3F679B8C" w14:textId="77777777"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t>Note:</w:t>
      </w:r>
      <w:r w:rsidRPr="00351AEF">
        <w:rPr>
          <w:rFonts w:ascii="Arial" w:eastAsia="Times New Roman" w:hAnsi="Arial" w:cs="Arial"/>
          <w:i/>
          <w:szCs w:val="22"/>
          <w:lang w:val="en-NZ" w:eastAsia="en-NZ"/>
        </w:rPr>
        <w:tab/>
        <w:t xml:space="preserve">The evaluation procedures followed also include the use of relevant forms and templates. Many of these are very consistent between the two cooperations and are considered to be interchangeable. </w:t>
      </w:r>
    </w:p>
    <w:p w14:paraId="64053A7A" w14:textId="0130D9A1"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If it is agreed that the IAAC MLA Committee Chair will provide the TL, the APAC MRA Council shall, in accordance with APAC requirements set out elsewhere in this document (</w:t>
      </w:r>
      <w:r w:rsidR="00FB4F45">
        <w:rPr>
          <w:rFonts w:ascii="Arial" w:eastAsia="Times New Roman" w:hAnsi="Arial" w:cs="Arial"/>
          <w:szCs w:val="22"/>
          <w:lang w:val="en-NZ" w:eastAsia="en-NZ"/>
        </w:rPr>
        <w:t xml:space="preserve">APAC </w:t>
      </w:r>
      <w:r w:rsidRPr="00351AEF">
        <w:rPr>
          <w:rFonts w:ascii="Arial" w:eastAsia="Times New Roman" w:hAnsi="Arial" w:cs="Arial"/>
          <w:szCs w:val="22"/>
          <w:lang w:val="en-NZ" w:eastAsia="en-NZ"/>
        </w:rPr>
        <w:t>MR</w:t>
      </w:r>
      <w:r w:rsidR="00FB4F45">
        <w:rPr>
          <w:rFonts w:ascii="Arial" w:eastAsia="Times New Roman" w:hAnsi="Arial" w:cs="Arial"/>
          <w:szCs w:val="22"/>
          <w:lang w:val="en-NZ" w:eastAsia="en-NZ"/>
        </w:rPr>
        <w:t>A-005</w:t>
      </w:r>
      <w:r w:rsidRPr="00351AEF">
        <w:rPr>
          <w:rFonts w:ascii="Arial" w:eastAsia="Times New Roman" w:hAnsi="Arial" w:cs="Arial"/>
          <w:szCs w:val="22"/>
          <w:lang w:val="en-NZ" w:eastAsia="en-NZ"/>
        </w:rPr>
        <w:t>), appoint an APAC LE to the team to effectively act as a ‘Deputy TL’, even if informally. The responsibilities of the APAC LE associated with his/her formal appointment by the APAC MRA Council are to present the evaluation report to the APAC MRA Council and to ensure that APAC requirements in accordance with APAC MR</w:t>
      </w:r>
      <w:r w:rsidR="00FB4F45">
        <w:rPr>
          <w:rFonts w:ascii="Arial" w:eastAsia="Times New Roman" w:hAnsi="Arial" w:cs="Arial"/>
          <w:szCs w:val="22"/>
          <w:lang w:val="en-NZ" w:eastAsia="en-NZ"/>
        </w:rPr>
        <w:t>A-</w:t>
      </w:r>
      <w:r w:rsidRPr="00351AEF">
        <w:rPr>
          <w:rFonts w:ascii="Arial" w:eastAsia="Times New Roman" w:hAnsi="Arial" w:cs="Arial"/>
          <w:szCs w:val="22"/>
          <w:lang w:val="en-NZ" w:eastAsia="en-NZ"/>
        </w:rPr>
        <w:t>001</w:t>
      </w:r>
      <w:r w:rsidR="00887C71">
        <w:rPr>
          <w:rFonts w:ascii="Arial" w:eastAsia="Times New Roman" w:hAnsi="Arial" w:cs="Arial"/>
          <w:szCs w:val="22"/>
          <w:lang w:val="en-NZ" w:eastAsia="en-NZ"/>
        </w:rPr>
        <w:t xml:space="preserve"> (and APAC MRA-009 in the case of remote evaluations)</w:t>
      </w:r>
      <w:r w:rsidRPr="00351AEF">
        <w:rPr>
          <w:rFonts w:ascii="Arial" w:eastAsia="Times New Roman" w:hAnsi="Arial" w:cs="Arial"/>
          <w:szCs w:val="22"/>
          <w:lang w:val="en-NZ" w:eastAsia="en-NZ"/>
        </w:rPr>
        <w:t xml:space="preserve"> are met throughout the evaluation process, including but not necessarily limited to:</w:t>
      </w:r>
    </w:p>
    <w:p w14:paraId="37A14971" w14:textId="1F5F180F" w:rsidR="00351AEF" w:rsidRPr="00351AEF" w:rsidRDefault="00351AEF" w:rsidP="00B95F53">
      <w:pPr>
        <w:numPr>
          <w:ilvl w:val="0"/>
          <w:numId w:val="12"/>
        </w:numPr>
        <w:spacing w:after="220"/>
        <w:ind w:left="1985" w:hanging="567"/>
        <w:rPr>
          <w:rFonts w:ascii="Arial" w:eastAsia="Times New Roman" w:hAnsi="Arial" w:cs="Arial"/>
          <w:szCs w:val="22"/>
          <w:lang w:val="en-NZ" w:eastAsia="en-NZ"/>
        </w:rPr>
      </w:pPr>
      <w:r w:rsidRPr="00351AEF">
        <w:rPr>
          <w:rFonts w:ascii="Arial" w:eastAsia="Times New Roman" w:hAnsi="Arial" w:cs="Arial"/>
          <w:szCs w:val="22"/>
          <w:lang w:val="en-NZ" w:eastAsia="en-NZ"/>
        </w:rPr>
        <w:t>Ensuring, through the selection of APAC Evaluators and Provisional Evaluators as Team Members (TM), adequate coverage on the APAC scope of the evaluation (see Section 5 below);</w:t>
      </w:r>
    </w:p>
    <w:p w14:paraId="418B35D7" w14:textId="1E2AC11B" w:rsidR="00351AEF" w:rsidRPr="00351AEF" w:rsidRDefault="00351AEF" w:rsidP="00B95F53">
      <w:pPr>
        <w:numPr>
          <w:ilvl w:val="0"/>
          <w:numId w:val="12"/>
        </w:numPr>
        <w:spacing w:after="220"/>
        <w:ind w:left="1985" w:hanging="567"/>
        <w:rPr>
          <w:rFonts w:ascii="Arial" w:eastAsia="Times New Roman" w:hAnsi="Arial" w:cs="Arial"/>
          <w:szCs w:val="22"/>
          <w:lang w:val="en-NZ" w:eastAsia="en-NZ"/>
        </w:rPr>
      </w:pPr>
      <w:r w:rsidRPr="00351AEF">
        <w:rPr>
          <w:rFonts w:ascii="Arial" w:eastAsia="Times New Roman" w:hAnsi="Arial" w:cs="Arial"/>
          <w:szCs w:val="22"/>
          <w:lang w:val="en-NZ" w:eastAsia="en-NZ"/>
        </w:rPr>
        <w:t>Ensuring an appropriate level of witnessing of the AB assessments for each of the APAC scopes of recognition being evaluated;</w:t>
      </w:r>
    </w:p>
    <w:p w14:paraId="149D3F04" w14:textId="693EF17D" w:rsidR="00351AEF" w:rsidRPr="00351AEF" w:rsidRDefault="00351AEF" w:rsidP="00B95F53">
      <w:pPr>
        <w:numPr>
          <w:ilvl w:val="0"/>
          <w:numId w:val="12"/>
        </w:numPr>
        <w:spacing w:after="220"/>
        <w:ind w:left="1985" w:hanging="567"/>
        <w:rPr>
          <w:rFonts w:ascii="Arial" w:eastAsia="Times New Roman" w:hAnsi="Arial" w:cs="Arial"/>
          <w:szCs w:val="22"/>
          <w:lang w:val="en-NZ" w:eastAsia="en-NZ"/>
        </w:rPr>
      </w:pPr>
      <w:r w:rsidRPr="00351AEF">
        <w:rPr>
          <w:rFonts w:ascii="Arial" w:eastAsia="Times New Roman" w:hAnsi="Arial" w:cs="Arial"/>
          <w:szCs w:val="22"/>
          <w:lang w:val="en-NZ" w:eastAsia="en-NZ"/>
        </w:rPr>
        <w:t>Mentoring APAC Provisional Evaluators;</w:t>
      </w:r>
    </w:p>
    <w:p w14:paraId="6F8741FC" w14:textId="15C90E3F" w:rsidR="00351AEF" w:rsidRPr="00351AEF" w:rsidRDefault="00351AEF" w:rsidP="00B95F53">
      <w:pPr>
        <w:numPr>
          <w:ilvl w:val="0"/>
          <w:numId w:val="12"/>
        </w:numPr>
        <w:spacing w:after="220"/>
        <w:ind w:left="1985" w:hanging="567"/>
        <w:rPr>
          <w:rFonts w:ascii="Arial" w:eastAsia="Times New Roman" w:hAnsi="Arial" w:cs="Arial"/>
          <w:szCs w:val="22"/>
          <w:lang w:val="en-NZ" w:eastAsia="en-NZ"/>
        </w:rPr>
      </w:pPr>
      <w:r w:rsidRPr="00351AEF">
        <w:rPr>
          <w:rFonts w:ascii="Arial" w:eastAsia="Times New Roman" w:hAnsi="Arial" w:cs="Arial"/>
          <w:szCs w:val="22"/>
          <w:lang w:val="en-NZ" w:eastAsia="en-NZ"/>
        </w:rPr>
        <w:t>Ensuring the evaluation report includes all elements required by APAC MR</w:t>
      </w:r>
      <w:r w:rsidR="00FB4F45">
        <w:rPr>
          <w:rFonts w:ascii="Arial" w:eastAsia="Times New Roman" w:hAnsi="Arial" w:cs="Arial"/>
          <w:szCs w:val="22"/>
          <w:lang w:val="en-NZ" w:eastAsia="en-NZ"/>
        </w:rPr>
        <w:t>A-001</w:t>
      </w:r>
      <w:r w:rsidRPr="00351AEF">
        <w:rPr>
          <w:rFonts w:ascii="Arial" w:eastAsia="Times New Roman" w:hAnsi="Arial" w:cs="Arial"/>
          <w:szCs w:val="22"/>
          <w:lang w:val="en-NZ" w:eastAsia="en-NZ"/>
        </w:rPr>
        <w:t>;</w:t>
      </w:r>
    </w:p>
    <w:p w14:paraId="32FB4FF7" w14:textId="0CBCF39A" w:rsidR="00351AEF" w:rsidRPr="00351AEF" w:rsidRDefault="00351AEF" w:rsidP="00B95F53">
      <w:pPr>
        <w:numPr>
          <w:ilvl w:val="0"/>
          <w:numId w:val="12"/>
        </w:numPr>
        <w:spacing w:after="220"/>
        <w:ind w:left="1985" w:hanging="567"/>
        <w:rPr>
          <w:rFonts w:ascii="Arial" w:eastAsia="Times New Roman" w:hAnsi="Arial" w:cs="Arial"/>
          <w:szCs w:val="22"/>
          <w:lang w:val="en-NZ" w:eastAsia="en-NZ"/>
        </w:rPr>
      </w:pPr>
      <w:r w:rsidRPr="00351AEF">
        <w:rPr>
          <w:rFonts w:ascii="Arial" w:eastAsia="Times New Roman" w:hAnsi="Arial" w:cs="Arial"/>
          <w:szCs w:val="22"/>
          <w:lang w:val="en-NZ" w:eastAsia="en-NZ"/>
        </w:rPr>
        <w:t>Ensuring recommendation from the evaluation team to the APAC MRA Council includes all elements required by APAC MR</w:t>
      </w:r>
      <w:r w:rsidR="00FB4F45">
        <w:rPr>
          <w:rFonts w:ascii="Arial" w:eastAsia="Times New Roman" w:hAnsi="Arial" w:cs="Arial"/>
          <w:szCs w:val="22"/>
          <w:lang w:val="en-NZ" w:eastAsia="en-NZ"/>
        </w:rPr>
        <w:t>A-</w:t>
      </w:r>
      <w:r w:rsidRPr="00351AEF">
        <w:rPr>
          <w:rFonts w:ascii="Arial" w:eastAsia="Times New Roman" w:hAnsi="Arial" w:cs="Arial"/>
          <w:szCs w:val="22"/>
          <w:lang w:val="en-NZ" w:eastAsia="en-NZ"/>
        </w:rPr>
        <w:t>001;</w:t>
      </w:r>
    </w:p>
    <w:p w14:paraId="65477BFC" w14:textId="1C3AE0F4" w:rsidR="00351AEF" w:rsidRPr="00351AEF" w:rsidRDefault="00351AEF" w:rsidP="00B95F53">
      <w:pPr>
        <w:numPr>
          <w:ilvl w:val="0"/>
          <w:numId w:val="12"/>
        </w:numPr>
        <w:spacing w:after="220"/>
        <w:ind w:left="1985" w:hanging="567"/>
        <w:rPr>
          <w:rFonts w:ascii="Arial" w:eastAsia="Times New Roman" w:hAnsi="Arial" w:cs="Arial"/>
          <w:szCs w:val="22"/>
          <w:lang w:val="en-NZ" w:eastAsia="en-NZ"/>
        </w:rPr>
      </w:pPr>
      <w:r w:rsidRPr="00351AEF">
        <w:rPr>
          <w:rFonts w:ascii="Arial" w:eastAsia="Times New Roman" w:hAnsi="Arial" w:cs="Arial"/>
          <w:szCs w:val="22"/>
          <w:lang w:val="en-NZ" w:eastAsia="en-NZ"/>
        </w:rPr>
        <w:t>Ensuring that all post-reporting activities required by MR</w:t>
      </w:r>
      <w:r w:rsidR="00E50B3A" w:rsidRPr="00E50B3A">
        <w:rPr>
          <w:rFonts w:ascii="Arial" w:eastAsia="Times New Roman" w:hAnsi="Arial" w:cs="Arial"/>
          <w:szCs w:val="22"/>
          <w:lang w:val="en-NZ" w:eastAsia="en-NZ"/>
        </w:rPr>
        <w:t>A-</w:t>
      </w:r>
      <w:r w:rsidRPr="00351AEF">
        <w:rPr>
          <w:rFonts w:ascii="Arial" w:eastAsia="Times New Roman" w:hAnsi="Arial" w:cs="Arial"/>
          <w:szCs w:val="22"/>
          <w:lang w:val="en-NZ" w:eastAsia="en-NZ"/>
        </w:rPr>
        <w:t>001 are undertaken, i.e. provision of documentation to the APAC Secretariat.</w:t>
      </w:r>
    </w:p>
    <w:p w14:paraId="0095478F" w14:textId="77777777" w:rsidR="008773EB" w:rsidRPr="008773EB" w:rsidRDefault="00351AEF" w:rsidP="00B95F53">
      <w:pPr>
        <w:numPr>
          <w:ilvl w:val="0"/>
          <w:numId w:val="14"/>
        </w:numPr>
        <w:spacing w:after="220"/>
        <w:ind w:left="851" w:hanging="851"/>
        <w:rPr>
          <w:rFonts w:ascii="Arial" w:eastAsia="Times New Roman" w:hAnsi="Arial" w:cs="Arial"/>
          <w:i/>
          <w:szCs w:val="22"/>
          <w:lang w:val="en-NZ" w:eastAsia="en-NZ"/>
        </w:rPr>
      </w:pPr>
      <w:r w:rsidRPr="00351AEF">
        <w:rPr>
          <w:rFonts w:ascii="Arial" w:eastAsia="Times New Roman" w:hAnsi="Arial" w:cs="Arial"/>
          <w:szCs w:val="22"/>
          <w:lang w:val="en-NZ" w:eastAsia="en-NZ"/>
        </w:rPr>
        <w:lastRenderedPageBreak/>
        <w:t xml:space="preserve">The selection of the evaluation team members shall be carried out in a co-operative and consultative manner between the APAC TL/LE and IAAC MLA Committee Chair (with acceptance by the AB confirmed to each regional cooperation), ensuring all MRA/MLA scopes to be evaluated are adequately covered. Where a particular scope is unique to a particular cooperation, that cooperation shall provide the TM for that scope. </w:t>
      </w:r>
    </w:p>
    <w:p w14:paraId="197BF593" w14:textId="22C47892"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t>Note 1:</w:t>
      </w:r>
      <w:r w:rsidRPr="00351AEF">
        <w:rPr>
          <w:rFonts w:ascii="Arial" w:eastAsia="Times New Roman" w:hAnsi="Arial" w:cs="Arial"/>
          <w:i/>
          <w:szCs w:val="22"/>
          <w:lang w:val="en-NZ" w:eastAsia="en-NZ"/>
        </w:rPr>
        <w:tab/>
        <w:t xml:space="preserve">Typically, APAC has appointed the TL, who, under APAC procedures, is responsible (in consultation with the APAC MRA </w:t>
      </w:r>
      <w:r w:rsidR="00CA6633">
        <w:rPr>
          <w:rFonts w:ascii="Arial" w:eastAsia="Times New Roman" w:hAnsi="Arial" w:cs="Arial"/>
          <w:i/>
          <w:szCs w:val="22"/>
          <w:lang w:val="en-NZ" w:eastAsia="en-NZ"/>
        </w:rPr>
        <w:t>MC</w:t>
      </w:r>
      <w:r w:rsidRPr="00351AEF">
        <w:rPr>
          <w:rFonts w:ascii="Arial" w:eastAsia="Times New Roman" w:hAnsi="Arial" w:cs="Arial"/>
          <w:i/>
          <w:szCs w:val="22"/>
          <w:lang w:val="en-NZ" w:eastAsia="en-NZ"/>
        </w:rPr>
        <w:t xml:space="preserve"> Chair) for the selection of the evaluation TMs. The APAC TL should wait until the appointment of the IAAC evaluators as TMs has been confirmed, and then select APAC Evaluators/Provisional Evaluators based on the IAAC TMs at their respective scopes of competency to ensure the evaluation team has the necessary balance of competencies required. It is advisable that the APAC TL, soon after his/her appointment, establish lines of communication (via the APAC MRA </w:t>
      </w:r>
      <w:r w:rsidR="00CA6633">
        <w:rPr>
          <w:rFonts w:ascii="Arial" w:eastAsia="Times New Roman" w:hAnsi="Arial" w:cs="Arial"/>
          <w:i/>
          <w:szCs w:val="22"/>
          <w:lang w:val="en-NZ" w:eastAsia="en-NZ"/>
        </w:rPr>
        <w:t>MC</w:t>
      </w:r>
      <w:r w:rsidRPr="00351AEF">
        <w:rPr>
          <w:rFonts w:ascii="Arial" w:eastAsia="Times New Roman" w:hAnsi="Arial" w:cs="Arial"/>
          <w:i/>
          <w:szCs w:val="22"/>
          <w:lang w:val="en-NZ" w:eastAsia="en-NZ"/>
        </w:rPr>
        <w:t xml:space="preserve"> Chair) with the IAAC MLA Committee Chair and Secretariat and provide an early indication of their preferred make-up of the evaluation team and invite appropriate TM appointments from IAAC.</w:t>
      </w:r>
    </w:p>
    <w:p w14:paraId="6F463C4A" w14:textId="665236EE"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t>Note 2:</w:t>
      </w:r>
      <w:r w:rsidRPr="00351AEF">
        <w:rPr>
          <w:rFonts w:ascii="Arial" w:eastAsia="Times New Roman" w:hAnsi="Arial" w:cs="Arial"/>
          <w:i/>
          <w:szCs w:val="22"/>
          <w:lang w:val="en-NZ" w:eastAsia="en-NZ"/>
        </w:rPr>
        <w:tab/>
        <w:t>In the case that IAAC has appointed the TL, the IAAC MLA Committee Chair, who under IAAC procedures, is responsible for the selection of the evaluation TMs, will designate the team in consultation with the appointed APAC LE (‘Deputy TL’).</w:t>
      </w:r>
    </w:p>
    <w:p w14:paraId="0456DB45" w14:textId="31BBCDC4"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Once the evaluation team and evaluation dates are agreed between all parties, the TL shall ensure the APAC and IAAC Secretariats are notified of the dates of the evaluation, the TMs and their respective assignments. The TL is then responsible for the conduct of the remainder of the evaluation process in accordance with the regional cooperation’s procedures selected.</w:t>
      </w:r>
    </w:p>
    <w:p w14:paraId="132692F4" w14:textId="601F19E8"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Should any logistical and/or procedural issues arise during the course of the evaluation that requires input from the APAC MRA </w:t>
      </w:r>
      <w:r w:rsidR="00CA6633">
        <w:rPr>
          <w:rFonts w:ascii="Arial" w:eastAsia="Times New Roman" w:hAnsi="Arial" w:cs="Arial"/>
          <w:szCs w:val="22"/>
          <w:lang w:val="en-NZ" w:eastAsia="en-NZ"/>
        </w:rPr>
        <w:t>MC</w:t>
      </w:r>
      <w:r w:rsidRPr="00351AEF">
        <w:rPr>
          <w:rFonts w:ascii="Arial" w:eastAsia="Times New Roman" w:hAnsi="Arial" w:cs="Arial"/>
          <w:szCs w:val="22"/>
          <w:lang w:val="en-NZ" w:eastAsia="en-NZ"/>
        </w:rPr>
        <w:t xml:space="preserve"> Chair and/or IAAC MLA Committee Chair, the TL shall ensure both Chairs are informed. Both Chairs shall work together to achieve a mutually acceptable resolution.</w:t>
      </w:r>
    </w:p>
    <w:p w14:paraId="3BFF53A2" w14:textId="26168EAE"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t>Note:</w:t>
      </w:r>
      <w:r w:rsidRPr="00351AEF">
        <w:rPr>
          <w:rFonts w:ascii="Arial" w:eastAsia="Times New Roman" w:hAnsi="Arial" w:cs="Arial"/>
          <w:i/>
          <w:szCs w:val="22"/>
          <w:lang w:val="en-NZ" w:eastAsia="en-NZ"/>
        </w:rPr>
        <w:tab/>
        <w:t xml:space="preserve">There is no substitute for open and consultative communication between the AB, the TL, and the respective Chairs of the APAC MRA </w:t>
      </w:r>
      <w:r w:rsidR="00CA6633">
        <w:rPr>
          <w:rFonts w:ascii="Arial" w:eastAsia="Times New Roman" w:hAnsi="Arial" w:cs="Arial"/>
          <w:i/>
          <w:szCs w:val="22"/>
          <w:lang w:val="en-NZ" w:eastAsia="en-NZ"/>
        </w:rPr>
        <w:t>MC</w:t>
      </w:r>
      <w:r w:rsidRPr="00351AEF">
        <w:rPr>
          <w:rFonts w:ascii="Arial" w:eastAsia="Times New Roman" w:hAnsi="Arial" w:cs="Arial"/>
          <w:i/>
          <w:szCs w:val="22"/>
          <w:lang w:val="en-NZ" w:eastAsia="en-NZ"/>
        </w:rPr>
        <w:t xml:space="preserve"> and IAAC MLA Committee. All parties share the responsibility to ensure such communication is effective.</w:t>
      </w:r>
    </w:p>
    <w:p w14:paraId="02348DB6" w14:textId="47DA07D4"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The final evaluation report, in English, shall be submitted to the APAC and IAAC Secretariats upon completion, along with a recommendation from the team to the APAC MRA Council and IAAC MLA Group. Where possible, a member of the evaluation team should be present when the report is considered by the respective cooperation’s decision-making group.</w:t>
      </w:r>
    </w:p>
    <w:p w14:paraId="10995095" w14:textId="330F354B" w:rsidR="00351AEF" w:rsidRPr="00351AEF" w:rsidRDefault="00351AEF" w:rsidP="00B95F53">
      <w:pPr>
        <w:spacing w:after="220"/>
        <w:ind w:left="1440" w:hanging="22"/>
        <w:rPr>
          <w:rFonts w:ascii="Arial" w:eastAsia="Times New Roman" w:hAnsi="Arial" w:cs="Arial"/>
          <w:szCs w:val="22"/>
          <w:lang w:val="en-NZ" w:eastAsia="en-NZ"/>
        </w:rPr>
      </w:pPr>
      <w:r w:rsidRPr="00351AEF">
        <w:rPr>
          <w:rFonts w:ascii="Arial" w:eastAsia="Times New Roman" w:hAnsi="Arial" w:cs="Arial"/>
          <w:i/>
          <w:szCs w:val="22"/>
          <w:lang w:val="en-NZ" w:eastAsia="en-NZ"/>
        </w:rPr>
        <w:t>Note 1:</w:t>
      </w:r>
      <w:r w:rsidRPr="00351AEF">
        <w:rPr>
          <w:rFonts w:ascii="Arial" w:eastAsia="Times New Roman" w:hAnsi="Arial" w:cs="Arial"/>
          <w:i/>
          <w:szCs w:val="22"/>
          <w:lang w:val="en-NZ" w:eastAsia="en-NZ"/>
        </w:rPr>
        <w:tab/>
        <w:t>It would be expected that the recommendation to each of the decision-making group be broadly consistent in their overall conclusions/recommendations, but may often differ slightly because of differences in the scope of the evaluation for each and/or the differences in the content of the recommendation that is required by each cooperation.</w:t>
      </w:r>
    </w:p>
    <w:p w14:paraId="64B516EE" w14:textId="7D6083C2" w:rsidR="00351AEF" w:rsidRPr="00351AEF" w:rsidRDefault="00351AEF" w:rsidP="00B95F53">
      <w:pPr>
        <w:spacing w:after="220"/>
        <w:ind w:left="1440" w:hanging="22"/>
        <w:rPr>
          <w:rFonts w:ascii="Arial" w:eastAsia="Times New Roman" w:hAnsi="Arial" w:cs="Arial"/>
          <w:i/>
          <w:szCs w:val="22"/>
          <w:lang w:val="en-NZ" w:eastAsia="en-NZ"/>
        </w:rPr>
      </w:pPr>
      <w:r w:rsidRPr="00351AEF">
        <w:rPr>
          <w:rFonts w:ascii="Arial" w:eastAsia="Times New Roman" w:hAnsi="Arial" w:cs="Arial"/>
          <w:i/>
          <w:szCs w:val="22"/>
          <w:lang w:val="en-NZ" w:eastAsia="en-NZ"/>
        </w:rPr>
        <w:lastRenderedPageBreak/>
        <w:t>Note 2:</w:t>
      </w:r>
      <w:r w:rsidRPr="00351AEF">
        <w:rPr>
          <w:rFonts w:ascii="Arial" w:eastAsia="Times New Roman" w:hAnsi="Arial" w:cs="Arial"/>
          <w:i/>
          <w:szCs w:val="22"/>
          <w:lang w:val="en-NZ" w:eastAsia="en-NZ"/>
        </w:rPr>
        <w:tab/>
        <w:t>In the case of the IAAC MLA Group meeting, the TL or a TM should attend or participate virtually (e.g. via Skype).</w:t>
      </w:r>
    </w:p>
    <w:p w14:paraId="6339F7CD" w14:textId="77F8D61E"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Throughout the evaluation process, and particularly with some of the post-on-site evaluation administrative processes, there will be different and/or additional functions required by each cooperation to be performed by the TL and TMs. Examples include, but are not necessarily limited to, feedback on evaluator performance by members of the evaluation team (APAC </w:t>
      </w:r>
      <w:r w:rsidR="00752FC3">
        <w:rPr>
          <w:rFonts w:ascii="Arial" w:eastAsia="Times New Roman" w:hAnsi="Arial" w:cs="Arial"/>
          <w:szCs w:val="22"/>
          <w:lang w:val="en-NZ" w:eastAsia="en-NZ"/>
        </w:rPr>
        <w:t>F</w:t>
      </w:r>
      <w:r w:rsidRPr="00351AEF">
        <w:rPr>
          <w:rFonts w:ascii="Arial" w:eastAsia="Times New Roman" w:hAnsi="Arial" w:cs="Arial"/>
          <w:szCs w:val="22"/>
          <w:lang w:val="en-NZ" w:eastAsia="en-NZ"/>
        </w:rPr>
        <w:t>MR</w:t>
      </w:r>
      <w:r w:rsidR="00752FC3">
        <w:rPr>
          <w:rFonts w:ascii="Arial" w:eastAsia="Times New Roman" w:hAnsi="Arial" w:cs="Arial"/>
          <w:szCs w:val="22"/>
          <w:lang w:val="en-NZ" w:eastAsia="en-NZ"/>
        </w:rPr>
        <w:t>A-</w:t>
      </w:r>
      <w:r w:rsidRPr="00351AEF">
        <w:rPr>
          <w:rFonts w:ascii="Arial" w:eastAsia="Times New Roman" w:hAnsi="Arial" w:cs="Arial"/>
          <w:szCs w:val="22"/>
          <w:lang w:val="en-NZ" w:eastAsia="en-NZ"/>
        </w:rPr>
        <w:t>00</w:t>
      </w:r>
      <w:r w:rsidR="00752FC3">
        <w:rPr>
          <w:rFonts w:ascii="Arial" w:eastAsia="Times New Roman" w:hAnsi="Arial" w:cs="Arial"/>
          <w:szCs w:val="22"/>
          <w:lang w:val="en-NZ" w:eastAsia="en-NZ"/>
        </w:rPr>
        <w:t>8</w:t>
      </w:r>
      <w:r w:rsidRPr="00351AEF">
        <w:rPr>
          <w:rFonts w:ascii="Arial" w:eastAsia="Times New Roman" w:hAnsi="Arial" w:cs="Arial"/>
          <w:szCs w:val="22"/>
          <w:lang w:val="en-NZ" w:eastAsia="en-NZ"/>
        </w:rPr>
        <w:t xml:space="preserve">, IAAC PR 004), and answers to written questions on the evaluation report from members of the IAAC MLA Group prior to decision-making meetings. Every effort should be made to identify these in advance and implement accordingly, but all members of the evaluation team shall cooperate when requested to carry out activities required by either cooperation that would not normally be part of their own cooperation’s procedures. </w:t>
      </w:r>
    </w:p>
    <w:p w14:paraId="711A4957" w14:textId="6110E0C4" w:rsidR="00351AEF" w:rsidRPr="00351AEF" w:rsidRDefault="00351AEF" w:rsidP="00B95F53">
      <w:pPr>
        <w:spacing w:after="220"/>
        <w:ind w:left="851"/>
        <w:rPr>
          <w:rFonts w:ascii="Arial" w:eastAsia="Times New Roman" w:hAnsi="Arial" w:cs="Arial"/>
          <w:szCs w:val="22"/>
          <w:lang w:val="en-NZ" w:eastAsia="en-NZ"/>
        </w:rPr>
      </w:pPr>
      <w:r w:rsidRPr="00351AEF">
        <w:rPr>
          <w:rFonts w:ascii="Arial" w:eastAsia="Times New Roman" w:hAnsi="Arial" w:cs="Arial"/>
          <w:szCs w:val="22"/>
          <w:lang w:val="en-NZ" w:eastAsia="en-NZ"/>
        </w:rPr>
        <w:t>Other additional considerations are:</w:t>
      </w:r>
    </w:p>
    <w:p w14:paraId="187C84FF" w14:textId="1F9CF3F8" w:rsidR="00351AEF" w:rsidRPr="00351AEF" w:rsidRDefault="00351AEF" w:rsidP="00B95F53">
      <w:pPr>
        <w:numPr>
          <w:ilvl w:val="0"/>
          <w:numId w:val="15"/>
        </w:num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The TL may use the APAC or IAAC forms for the evaluation programme and for the evaluation report. If the TL decides to use the APAC </w:t>
      </w:r>
      <w:r w:rsidR="00752FC3">
        <w:rPr>
          <w:rFonts w:ascii="Arial" w:eastAsia="Times New Roman" w:hAnsi="Arial" w:cs="Arial"/>
          <w:szCs w:val="22"/>
          <w:lang w:val="en-NZ" w:eastAsia="en-NZ"/>
        </w:rPr>
        <w:t>process</w:t>
      </w:r>
      <w:r w:rsidRPr="00351AEF">
        <w:rPr>
          <w:rFonts w:ascii="Arial" w:eastAsia="Times New Roman" w:hAnsi="Arial" w:cs="Arial"/>
          <w:szCs w:val="22"/>
          <w:lang w:val="en-NZ" w:eastAsia="en-NZ"/>
        </w:rPr>
        <w:t xml:space="preserve"> (</w:t>
      </w:r>
      <w:r w:rsidR="00936809">
        <w:rPr>
          <w:rFonts w:ascii="Arial" w:eastAsia="Times New Roman" w:hAnsi="Arial" w:cs="Arial"/>
          <w:szCs w:val="22"/>
          <w:lang w:val="en-NZ" w:eastAsia="en-NZ"/>
        </w:rPr>
        <w:t>e.g</w:t>
      </w:r>
      <w:r w:rsidRPr="00351AEF">
        <w:rPr>
          <w:rFonts w:ascii="Arial" w:eastAsia="Times New Roman" w:hAnsi="Arial" w:cs="Arial"/>
          <w:szCs w:val="22"/>
          <w:lang w:val="en-NZ" w:eastAsia="en-NZ"/>
        </w:rPr>
        <w:t xml:space="preserve">. </w:t>
      </w:r>
      <w:r w:rsidR="00936809">
        <w:rPr>
          <w:rFonts w:ascii="Arial" w:eastAsia="Times New Roman" w:hAnsi="Arial" w:cs="Arial"/>
          <w:szCs w:val="22"/>
          <w:lang w:val="en-NZ" w:eastAsia="en-NZ"/>
        </w:rPr>
        <w:t>using IAF/ILAC-A3 Template Report</w:t>
      </w:r>
      <w:r w:rsidRPr="00351AEF">
        <w:rPr>
          <w:rFonts w:ascii="Arial" w:eastAsia="Times New Roman" w:hAnsi="Arial" w:cs="Arial"/>
          <w:szCs w:val="22"/>
          <w:lang w:val="en-NZ" w:eastAsia="en-NZ"/>
        </w:rPr>
        <w:t>), he/she shall ensure, with the assistance and support of IAAC TMs, all requirements documents called up in the following IAAC forms are included:</w:t>
      </w:r>
    </w:p>
    <w:p w14:paraId="7C06DDCF" w14:textId="77777777" w:rsidR="00351AEF" w:rsidRPr="00351AEF" w:rsidRDefault="00351AEF" w:rsidP="00B95F53">
      <w:pPr>
        <w:numPr>
          <w:ilvl w:val="0"/>
          <w:numId w:val="16"/>
        </w:numPr>
        <w:spacing w:after="220"/>
        <w:rPr>
          <w:rFonts w:ascii="Arial" w:eastAsia="Times New Roman" w:hAnsi="Arial" w:cs="Arial"/>
          <w:i/>
          <w:szCs w:val="22"/>
          <w:lang w:val="en-NZ" w:eastAsia="en-NZ"/>
        </w:rPr>
      </w:pPr>
      <w:r w:rsidRPr="00351AEF">
        <w:rPr>
          <w:rFonts w:ascii="Arial" w:eastAsia="Times New Roman" w:hAnsi="Arial" w:cs="Arial"/>
          <w:i/>
          <w:szCs w:val="22"/>
          <w:lang w:val="en-NZ" w:eastAsia="en-NZ"/>
        </w:rPr>
        <w:t>IAAC FM 004 Evaluation Program Template</w:t>
      </w:r>
    </w:p>
    <w:p w14:paraId="2E7850BA" w14:textId="77777777" w:rsidR="00351AEF" w:rsidRPr="00351AEF" w:rsidRDefault="00351AEF" w:rsidP="00B95F53">
      <w:pPr>
        <w:numPr>
          <w:ilvl w:val="0"/>
          <w:numId w:val="16"/>
        </w:numPr>
        <w:spacing w:after="220"/>
        <w:rPr>
          <w:rFonts w:ascii="Arial" w:eastAsia="Times New Roman" w:hAnsi="Arial" w:cs="Arial"/>
          <w:i/>
          <w:szCs w:val="22"/>
          <w:lang w:val="en-NZ" w:eastAsia="en-NZ"/>
        </w:rPr>
      </w:pPr>
      <w:r w:rsidRPr="00351AEF">
        <w:rPr>
          <w:rFonts w:ascii="Arial" w:eastAsia="Times New Roman" w:hAnsi="Arial" w:cs="Arial"/>
          <w:i/>
          <w:szCs w:val="22"/>
          <w:lang w:val="en-NZ" w:eastAsia="en-NZ"/>
        </w:rPr>
        <w:t>IAAC FM 033 Evaluation Report Template.</w:t>
      </w:r>
    </w:p>
    <w:p w14:paraId="58BDB33B" w14:textId="796EE886" w:rsidR="00351AEF" w:rsidRPr="00351AEF" w:rsidRDefault="00351AEF" w:rsidP="00B95F53">
      <w:pPr>
        <w:numPr>
          <w:ilvl w:val="0"/>
          <w:numId w:val="15"/>
        </w:num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The IAAC definitions of Nonconformities and Comments are identical as those used in IAF/ILAC-A2; however, IAAC requires a response to the Comments and has added some notes about what type of information is required to close each type of finding (see IAAC MD 002, Annex 3, Section C).</w:t>
      </w:r>
    </w:p>
    <w:p w14:paraId="0091B91A" w14:textId="77777777" w:rsidR="00351AEF" w:rsidRPr="00351AEF" w:rsidRDefault="00351AEF" w:rsidP="00B95F53">
      <w:pPr>
        <w:numPr>
          <w:ilvl w:val="0"/>
          <w:numId w:val="15"/>
        </w:num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IAAC has deadlines specified (IAAC MD 002, Annex 3) for responding to evaluation findings and for submitting the evaluation report to the IAAC MLA Group.</w:t>
      </w:r>
    </w:p>
    <w:p w14:paraId="7176C5AD" w14:textId="11815113" w:rsidR="00351AEF" w:rsidRPr="00351AEF" w:rsidRDefault="00351AEF" w:rsidP="00B95F53">
      <w:pPr>
        <w:numPr>
          <w:ilvl w:val="0"/>
          <w:numId w:val="15"/>
        </w:num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IAAC requires the use of </w:t>
      </w:r>
      <w:r w:rsidRPr="00351AEF">
        <w:rPr>
          <w:rFonts w:ascii="Arial" w:eastAsia="Times New Roman" w:hAnsi="Arial" w:cs="Arial"/>
          <w:i/>
          <w:szCs w:val="22"/>
          <w:lang w:val="en-NZ" w:eastAsia="en-NZ"/>
        </w:rPr>
        <w:t>IAAC FM 005: Template for Findings and Responses</w:t>
      </w:r>
      <w:r w:rsidRPr="00351AEF">
        <w:rPr>
          <w:rFonts w:ascii="Arial" w:eastAsia="Times New Roman" w:hAnsi="Arial" w:cs="Arial"/>
          <w:szCs w:val="22"/>
          <w:lang w:val="en-NZ" w:eastAsia="en-NZ"/>
        </w:rPr>
        <w:t xml:space="preserve">. </w:t>
      </w:r>
    </w:p>
    <w:p w14:paraId="748A76A1" w14:textId="46D3D51A" w:rsidR="00351AEF" w:rsidRPr="00351AEF" w:rsidRDefault="00351AEF" w:rsidP="00B95F53">
      <w:pPr>
        <w:numPr>
          <w:ilvl w:val="0"/>
          <w:numId w:val="15"/>
        </w:num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IAAC requires that the TL provide to the IAAC MLA Secretary the completed IAAC form </w:t>
      </w:r>
      <w:r w:rsidRPr="00351AEF">
        <w:rPr>
          <w:rFonts w:ascii="Arial" w:eastAsia="Times New Roman" w:hAnsi="Arial" w:cs="Arial"/>
          <w:i/>
          <w:szCs w:val="22"/>
          <w:lang w:val="en-NZ" w:eastAsia="en-NZ"/>
        </w:rPr>
        <w:t>IAAC FM 022: List of Witnessed Assessments</w:t>
      </w:r>
      <w:r w:rsidRPr="00351AEF">
        <w:rPr>
          <w:rFonts w:ascii="Arial" w:eastAsia="Times New Roman" w:hAnsi="Arial" w:cs="Arial"/>
          <w:szCs w:val="22"/>
          <w:lang w:val="en-NZ" w:eastAsia="en-NZ"/>
        </w:rPr>
        <w:t xml:space="preserve"> by the APAC/IAAC evaluation team containing the list of assessments witnessed including identification of the CAB and the names of the assessors and experts. (APAC also has an identical requirement and </w:t>
      </w:r>
      <w:r w:rsidR="00936809">
        <w:rPr>
          <w:rFonts w:ascii="Arial" w:eastAsia="Times New Roman" w:hAnsi="Arial" w:cs="Arial"/>
          <w:szCs w:val="22"/>
          <w:lang w:val="en-NZ" w:eastAsia="en-NZ"/>
        </w:rPr>
        <w:t>APAC FMRS-012</w:t>
      </w:r>
      <w:r w:rsidRPr="00351AEF">
        <w:rPr>
          <w:rFonts w:ascii="Arial" w:eastAsia="Times New Roman" w:hAnsi="Arial" w:cs="Arial"/>
          <w:szCs w:val="22"/>
          <w:lang w:val="en-NZ" w:eastAsia="en-NZ"/>
        </w:rPr>
        <w:t xml:space="preserve"> can be used for this purpose.)</w:t>
      </w:r>
    </w:p>
    <w:p w14:paraId="7EF602BC" w14:textId="77777777" w:rsidR="00351AEF" w:rsidRPr="00351AEF" w:rsidRDefault="00351AEF" w:rsidP="00B95F53">
      <w:pPr>
        <w:numPr>
          <w:ilvl w:val="0"/>
          <w:numId w:val="15"/>
        </w:numPr>
        <w:spacing w:after="220"/>
        <w:rPr>
          <w:rFonts w:ascii="Arial" w:eastAsia="Times New Roman" w:hAnsi="Arial" w:cs="Arial"/>
          <w:szCs w:val="22"/>
          <w:lang w:val="en-NZ" w:eastAsia="en-NZ"/>
        </w:rPr>
      </w:pPr>
      <w:r w:rsidRPr="00351AEF">
        <w:rPr>
          <w:rFonts w:ascii="Arial" w:eastAsia="Times New Roman" w:hAnsi="Arial" w:cs="Arial"/>
          <w:szCs w:val="22"/>
          <w:lang w:val="en-NZ" w:eastAsia="en-NZ"/>
        </w:rPr>
        <w:t xml:space="preserve">For evaluations that include certification body scopes, IAAC requires the use of the </w:t>
      </w:r>
      <w:r w:rsidRPr="00351AEF">
        <w:rPr>
          <w:rFonts w:ascii="Arial" w:eastAsia="Times New Roman" w:hAnsi="Arial" w:cs="Arial"/>
          <w:i/>
          <w:szCs w:val="22"/>
          <w:lang w:val="en-NZ" w:eastAsia="en-NZ"/>
        </w:rPr>
        <w:t>IAAC FM 012: Witnessing Report Template</w:t>
      </w:r>
      <w:r w:rsidRPr="00351AEF">
        <w:rPr>
          <w:rFonts w:ascii="Arial" w:eastAsia="Times New Roman" w:hAnsi="Arial" w:cs="Arial"/>
          <w:szCs w:val="22"/>
          <w:lang w:val="en-NZ" w:eastAsia="en-NZ"/>
        </w:rPr>
        <w:t>.</w:t>
      </w:r>
    </w:p>
    <w:p w14:paraId="583AB1C4" w14:textId="50924A98" w:rsidR="00351AEF" w:rsidRPr="00351AEF" w:rsidRDefault="00351AEF" w:rsidP="00B95F53">
      <w:pPr>
        <w:spacing w:after="220"/>
        <w:ind w:left="1418"/>
        <w:rPr>
          <w:rFonts w:ascii="Arial" w:eastAsia="Times New Roman" w:hAnsi="Arial" w:cs="Arial"/>
          <w:szCs w:val="22"/>
          <w:lang w:val="en-NZ" w:eastAsia="en-NZ"/>
        </w:rPr>
      </w:pPr>
      <w:r w:rsidRPr="00351AEF">
        <w:rPr>
          <w:rFonts w:ascii="Arial" w:eastAsia="Times New Roman" w:hAnsi="Arial" w:cs="Arial"/>
          <w:i/>
          <w:szCs w:val="22"/>
          <w:lang w:val="en-NZ" w:eastAsia="en-NZ"/>
        </w:rPr>
        <w:t>Note 1:</w:t>
      </w:r>
      <w:r w:rsidRPr="00351AEF">
        <w:rPr>
          <w:rFonts w:ascii="Arial" w:eastAsia="Times New Roman" w:hAnsi="Arial" w:cs="Arial"/>
          <w:i/>
          <w:szCs w:val="22"/>
          <w:lang w:val="en-NZ" w:eastAsia="en-NZ"/>
        </w:rPr>
        <w:tab/>
        <w:t>The TL may download the IAAC forms from the IAAC website (</w:t>
      </w:r>
      <w:hyperlink r:id="rId10" w:history="1">
        <w:r w:rsidRPr="00351AEF">
          <w:rPr>
            <w:rFonts w:ascii="Arial" w:eastAsia="Times New Roman" w:hAnsi="Arial" w:cs="Arial"/>
            <w:i/>
            <w:color w:val="0000FF"/>
            <w:szCs w:val="22"/>
            <w:u w:val="single"/>
            <w:lang w:val="en-NZ" w:eastAsia="en-NZ"/>
          </w:rPr>
          <w:t>www.iaac.org.mx</w:t>
        </w:r>
      </w:hyperlink>
      <w:r w:rsidRPr="00351AEF">
        <w:rPr>
          <w:rFonts w:ascii="Arial" w:eastAsia="Times New Roman" w:hAnsi="Arial" w:cs="Arial"/>
          <w:i/>
          <w:szCs w:val="22"/>
          <w:lang w:val="en-NZ" w:eastAsia="en-NZ"/>
        </w:rPr>
        <w:t>) under the FM category of documents. All requirements documents are listed in the Mandatory Documents and Forms.</w:t>
      </w:r>
    </w:p>
    <w:p w14:paraId="6AEFFF63" w14:textId="26534DE3" w:rsidR="00351AEF" w:rsidRPr="00351AEF" w:rsidRDefault="00351AEF" w:rsidP="00B95F53">
      <w:pPr>
        <w:spacing w:after="220"/>
        <w:ind w:left="1418"/>
        <w:rPr>
          <w:rFonts w:ascii="Arial" w:eastAsia="Times New Roman" w:hAnsi="Arial" w:cs="Arial"/>
          <w:i/>
          <w:szCs w:val="22"/>
          <w:lang w:val="en-NZ" w:eastAsia="en-NZ"/>
        </w:rPr>
      </w:pPr>
      <w:r w:rsidRPr="00351AEF">
        <w:rPr>
          <w:rFonts w:ascii="Arial" w:eastAsia="Times New Roman" w:hAnsi="Arial" w:cs="Arial"/>
          <w:i/>
          <w:szCs w:val="22"/>
          <w:lang w:val="en-NZ" w:eastAsia="en-NZ"/>
        </w:rPr>
        <w:lastRenderedPageBreak/>
        <w:t>Note 2:</w:t>
      </w:r>
      <w:r w:rsidRPr="00351AEF">
        <w:rPr>
          <w:rFonts w:ascii="Arial" w:eastAsia="Times New Roman" w:hAnsi="Arial" w:cs="Arial"/>
          <w:i/>
          <w:szCs w:val="22"/>
          <w:lang w:val="en-NZ" w:eastAsia="en-NZ"/>
        </w:rPr>
        <w:tab/>
        <w:t>“IAAC MD 30: IAF and ILAC Resolutions Applicable to IAAC Peer Evaluations” states some requirements and/or clarifications relevant to peer evaluations.</w:t>
      </w:r>
    </w:p>
    <w:p w14:paraId="78002DE8" w14:textId="615D8065" w:rsidR="00351AEF" w:rsidRPr="00351AEF" w:rsidRDefault="00351AEF" w:rsidP="00B95F53">
      <w:pPr>
        <w:numPr>
          <w:ilvl w:val="0"/>
          <w:numId w:val="14"/>
        </w:numPr>
        <w:spacing w:after="220"/>
        <w:ind w:left="851" w:hanging="851"/>
        <w:rPr>
          <w:rFonts w:ascii="Arial" w:eastAsia="Times New Roman" w:hAnsi="Arial" w:cs="Arial"/>
          <w:szCs w:val="22"/>
          <w:lang w:val="en-NZ" w:eastAsia="en-NZ"/>
        </w:rPr>
      </w:pPr>
      <w:r w:rsidRPr="00351AEF">
        <w:rPr>
          <w:rFonts w:ascii="Arial" w:eastAsia="Times New Roman" w:hAnsi="Arial" w:cs="Arial"/>
          <w:szCs w:val="22"/>
          <w:lang w:val="en-NZ" w:eastAsia="en-NZ"/>
        </w:rPr>
        <w:t>The APAC MRA Council and IAAC MLA Group shall make their respective decisions independently and in accordance with their respective procedures. However, if there is a pertinent matter discussed/concluded at the decision-making group that first considers the evaluation report and associated recommendation from the team, this should be brought to the attention of the other decision-making group when they consider the evaluation report and recommendation</w:t>
      </w:r>
      <w:r w:rsidR="009F0DD2">
        <w:rPr>
          <w:rFonts w:ascii="Arial" w:eastAsia="Times New Roman" w:hAnsi="Arial" w:cs="Arial"/>
          <w:szCs w:val="22"/>
          <w:lang w:val="en-NZ" w:eastAsia="en-NZ"/>
        </w:rPr>
        <w:t>s</w:t>
      </w:r>
      <w:r w:rsidRPr="00351AEF">
        <w:rPr>
          <w:rFonts w:ascii="Arial" w:eastAsia="Times New Roman" w:hAnsi="Arial" w:cs="Arial"/>
          <w:szCs w:val="22"/>
          <w:lang w:val="en-NZ" w:eastAsia="en-NZ"/>
        </w:rPr>
        <w:t xml:space="preserve">. </w:t>
      </w:r>
    </w:p>
    <w:p w14:paraId="39EE0FC6" w14:textId="77777777" w:rsidR="00351AEF" w:rsidRPr="00351AEF" w:rsidRDefault="00351AEF" w:rsidP="00B95F53">
      <w:pPr>
        <w:spacing w:after="220"/>
        <w:ind w:left="851"/>
        <w:rPr>
          <w:rFonts w:ascii="Arial" w:eastAsia="Times New Roman" w:hAnsi="Arial" w:cs="Arial"/>
          <w:szCs w:val="22"/>
          <w:lang w:val="en-NZ" w:eastAsia="en-NZ"/>
        </w:rPr>
      </w:pPr>
      <w:r w:rsidRPr="00351AEF">
        <w:rPr>
          <w:rFonts w:ascii="Arial" w:eastAsia="Times New Roman" w:hAnsi="Arial" w:cs="Arial"/>
          <w:szCs w:val="22"/>
          <w:lang w:val="en-NZ" w:eastAsia="en-NZ"/>
        </w:rPr>
        <w:t>Such ‘pertinent matters’ would be when the decision-making group first considering the evaluation report does not accept the general recommendation from the team (e.g. does not grant/continue signatory status in one or more of the MRA/MLA scopes, particularly those scopes common to both regional cooperations; or when a shortened re-evaluation interval is decided). The Chair of the ‘first’ decision-making group and the TL shall agree which pertinent matters should be bought to the attention of the ‘second’ decision-making group, and on the mechanism for doing so. This could be through either the TL or another senior TM / ‘Deputy TL’ representing the ‘second’ regional cooperation (and who will be presenting the evaluation report and team recommendation to the ‘second’ decision-making meeting), and/or through the Chair of the ‘second’ decision-making group. Notwithstanding this sharing of information, regardless of any prior evaluation decision made, separate and distinct decisions are made by each of the decision-making groups.</w:t>
      </w:r>
    </w:p>
    <w:p w14:paraId="42E7FE93" w14:textId="77777777" w:rsidR="00351AEF" w:rsidRPr="00351AEF" w:rsidRDefault="00351AEF" w:rsidP="005B3D3C">
      <w:pPr>
        <w:spacing w:after="220"/>
        <w:jc w:val="left"/>
        <w:rPr>
          <w:rFonts w:ascii="Arial" w:hAnsi="Arial" w:cs="Arial"/>
          <w:b/>
          <w:sz w:val="24"/>
          <w:szCs w:val="24"/>
          <w:lang w:val="en-NZ"/>
        </w:rPr>
      </w:pPr>
    </w:p>
    <w:sectPr w:rsidR="00351AEF" w:rsidRPr="00351AEF" w:rsidSect="00004315">
      <w:headerReference w:type="default" r:id="rId11"/>
      <w:footerReference w:type="default" r:id="rId12"/>
      <w:headerReference w:type="first" r:id="rId13"/>
      <w:footerReference w:type="first" r:id="rId14"/>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E02E8" w14:textId="77777777" w:rsidR="00D41A01" w:rsidRDefault="00D41A01">
      <w:r>
        <w:separator/>
      </w:r>
    </w:p>
  </w:endnote>
  <w:endnote w:type="continuationSeparator" w:id="0">
    <w:p w14:paraId="68803C11" w14:textId="77777777" w:rsidR="00D41A01" w:rsidRDefault="00D41A01">
      <w:r>
        <w:continuationSeparator/>
      </w:r>
    </w:p>
  </w:endnote>
  <w:endnote w:type="continuationNotice" w:id="1">
    <w:p w14:paraId="3887B550" w14:textId="77777777" w:rsidR="00D41A01" w:rsidRPr="00380812" w:rsidRDefault="00D41A01">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EA3678F" wp14:editId="1DC8B4BD">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926E1"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4943871E" w14:textId="77777777" w:rsidR="00D41A01" w:rsidRPr="00CF2B53" w:rsidRDefault="00D41A01"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3A50DA" w:rsidRDefault="003A50DA"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907"/>
              <w:gridCol w:w="2908"/>
              <w:gridCol w:w="2908"/>
            </w:tblGrid>
            <w:tr w:rsidR="003A50DA" w14:paraId="587D9713" w14:textId="77777777" w:rsidTr="00CF0620">
              <w:tc>
                <w:tcPr>
                  <w:tcW w:w="2907" w:type="dxa"/>
                  <w:tcBorders>
                    <w:top w:val="nil"/>
                    <w:left w:val="nil"/>
                    <w:bottom w:val="nil"/>
                    <w:right w:val="nil"/>
                  </w:tcBorders>
                </w:tcPr>
                <w:p w14:paraId="1F9702BA" w14:textId="137BB694" w:rsidR="003A50DA" w:rsidRDefault="003A50DA" w:rsidP="006535D3">
                  <w:pPr>
                    <w:pStyle w:val="Footer"/>
                    <w:jc w:val="left"/>
                    <w:rPr>
                      <w:sz w:val="20"/>
                    </w:rPr>
                  </w:pPr>
                  <w:r>
                    <w:rPr>
                      <w:sz w:val="20"/>
                    </w:rPr>
                    <w:t xml:space="preserve">Issue No: </w:t>
                  </w:r>
                  <w:r w:rsidR="00FB37B6">
                    <w:rPr>
                      <w:sz w:val="20"/>
                    </w:rPr>
                    <w:t>1.</w:t>
                  </w:r>
                  <w:r w:rsidR="006B2C54">
                    <w:rPr>
                      <w:sz w:val="20"/>
                    </w:rPr>
                    <w:t>2</w:t>
                  </w:r>
                </w:p>
              </w:tc>
              <w:tc>
                <w:tcPr>
                  <w:tcW w:w="2908" w:type="dxa"/>
                  <w:tcBorders>
                    <w:top w:val="nil"/>
                    <w:left w:val="nil"/>
                    <w:bottom w:val="nil"/>
                    <w:right w:val="nil"/>
                  </w:tcBorders>
                </w:tcPr>
                <w:p w14:paraId="7F504E9E" w14:textId="5E726ABD" w:rsidR="003A50DA" w:rsidRDefault="003A50DA" w:rsidP="006535D3">
                  <w:pPr>
                    <w:pStyle w:val="Footer"/>
                    <w:jc w:val="left"/>
                    <w:rPr>
                      <w:sz w:val="20"/>
                    </w:rPr>
                  </w:pPr>
                  <w:r>
                    <w:rPr>
                      <w:sz w:val="20"/>
                    </w:rPr>
                    <w:t xml:space="preserve">Issue Date: </w:t>
                  </w:r>
                  <w:r w:rsidR="006B2C54">
                    <w:rPr>
                      <w:sz w:val="20"/>
                    </w:rPr>
                    <w:t>27 October</w:t>
                  </w:r>
                  <w:r w:rsidR="00FB37B6">
                    <w:rPr>
                      <w:sz w:val="20"/>
                    </w:rPr>
                    <w:t xml:space="preserve"> 2020</w:t>
                  </w:r>
                </w:p>
              </w:tc>
              <w:tc>
                <w:tcPr>
                  <w:tcW w:w="2908" w:type="dxa"/>
                  <w:tcBorders>
                    <w:top w:val="nil"/>
                    <w:left w:val="nil"/>
                    <w:bottom w:val="nil"/>
                    <w:right w:val="nil"/>
                  </w:tcBorders>
                </w:tcPr>
                <w:p w14:paraId="46E4F451" w14:textId="664F16CA" w:rsidR="003A50DA" w:rsidRDefault="003A50DA"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4F710B">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4F710B">
                    <w:rPr>
                      <w:b/>
                      <w:bCs/>
                      <w:sz w:val="20"/>
                    </w:rPr>
                    <w:t>7</w:t>
                  </w:r>
                  <w:r w:rsidRPr="00ED2809">
                    <w:rPr>
                      <w:b/>
                      <w:bCs/>
                      <w:sz w:val="20"/>
                    </w:rPr>
                    <w:fldChar w:fldCharType="end"/>
                  </w:r>
                </w:p>
              </w:tc>
            </w:tr>
          </w:tbl>
          <w:p w14:paraId="2EC57C7B" w14:textId="5871E4B3" w:rsidR="003A50DA" w:rsidRPr="00ED2809" w:rsidRDefault="00D41A01" w:rsidP="006535D3">
            <w:pPr>
              <w:pStyle w:val="Footer"/>
              <w:pBdr>
                <w:top w:val="single" w:sz="4" w:space="1" w:color="auto"/>
              </w:pBdr>
              <w:jc w:val="left"/>
              <w:rPr>
                <w:sz w:val="20"/>
              </w:rPr>
            </w:pPr>
          </w:p>
        </w:sdtContent>
      </w:sdt>
    </w:sdtContent>
  </w:sdt>
  <w:p w14:paraId="73554651" w14:textId="77777777" w:rsidR="003A50DA" w:rsidRDefault="003A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6105CE12" w:rsidR="003A50DA" w:rsidRPr="00ED2809" w:rsidRDefault="003A50DA"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60A4B">
              <w:rPr>
                <w:b/>
                <w:bCs/>
                <w:sz w:val="20"/>
              </w:rPr>
              <w:t>2</w:t>
            </w:r>
            <w:r w:rsidRPr="00ED2809">
              <w:rPr>
                <w:b/>
                <w:bCs/>
                <w:sz w:val="20"/>
              </w:rPr>
              <w:fldChar w:fldCharType="end"/>
            </w:r>
          </w:p>
        </w:sdtContent>
      </w:sdt>
    </w:sdtContent>
  </w:sdt>
  <w:p w14:paraId="20EE477A" w14:textId="77777777" w:rsidR="003A50DA" w:rsidRDefault="003A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E1241" w14:textId="77777777" w:rsidR="00D41A01" w:rsidRDefault="00D41A01">
      <w:r>
        <w:separator/>
      </w:r>
    </w:p>
  </w:footnote>
  <w:footnote w:type="continuationSeparator" w:id="0">
    <w:p w14:paraId="794D053E" w14:textId="77777777" w:rsidR="00D41A01" w:rsidRDefault="00D4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E5B08" w14:textId="2F2C10CF" w:rsidR="003A50DA" w:rsidRDefault="003A50DA" w:rsidP="000B62C1">
    <w:pPr>
      <w:pStyle w:val="CoverPartyNames"/>
      <w:jc w:val="center"/>
    </w:pPr>
    <w:r w:rsidRPr="00F13E10">
      <w:rPr>
        <w:i/>
        <w:color w:val="365F91" w:themeColor="accent1" w:themeShade="BF"/>
        <w:sz w:val="24"/>
        <w:szCs w:val="24"/>
      </w:rPr>
      <w:t xml:space="preserve">APAC </w:t>
    </w:r>
    <w:r w:rsidR="003411BD">
      <w:rPr>
        <w:i/>
        <w:color w:val="365F91" w:themeColor="accent1" w:themeShade="BF"/>
        <w:sz w:val="24"/>
        <w:szCs w:val="24"/>
      </w:rPr>
      <w:t>MRA-00</w:t>
    </w:r>
    <w:r w:rsidR="000B62C1">
      <w:rPr>
        <w:i/>
        <w:color w:val="365F91" w:themeColor="accent1" w:themeShade="BF"/>
        <w:sz w:val="24"/>
        <w:szCs w:val="24"/>
      </w:rPr>
      <w:t>5</w:t>
    </w:r>
    <w:r>
      <w:rPr>
        <w:i/>
        <w:color w:val="365F91" w:themeColor="accent1" w:themeShade="BF"/>
        <w:sz w:val="24"/>
        <w:szCs w:val="24"/>
      </w:rPr>
      <w:t xml:space="preserve"> </w:t>
    </w:r>
    <w:r w:rsidR="000B62C1">
      <w:rPr>
        <w:i/>
        <w:color w:val="365F91" w:themeColor="accent1" w:themeShade="BF"/>
        <w:sz w:val="24"/>
        <w:szCs w:val="24"/>
      </w:rPr>
      <w:t xml:space="preserve">Procedure for </w:t>
    </w:r>
    <w:r w:rsidR="008964FD">
      <w:rPr>
        <w:i/>
        <w:color w:val="365F91" w:themeColor="accent1" w:themeShade="BF"/>
        <w:sz w:val="24"/>
        <w:szCs w:val="24"/>
      </w:rPr>
      <w:t xml:space="preserve">the Conduct of a </w:t>
    </w:r>
    <w:r w:rsidR="000B62C1">
      <w:rPr>
        <w:i/>
        <w:color w:val="365F91" w:themeColor="accent1" w:themeShade="BF"/>
        <w:sz w:val="24"/>
        <w:szCs w:val="24"/>
      </w:rPr>
      <w:t>Joint Evaluation with Another Regional Cooperation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7801" w14:textId="296B865B" w:rsidR="003A50DA" w:rsidRPr="007C3199" w:rsidRDefault="003A50DA" w:rsidP="00004315">
    <w:pPr>
      <w:pStyle w:val="CoverPartyNames"/>
      <w:rPr>
        <w:color w:val="365F91" w:themeColor="accent1" w:themeShade="BF"/>
      </w:rPr>
    </w:pPr>
    <w:bookmarkStart w:id="8" w:name="_Hlk491774868"/>
    <w:r w:rsidRPr="007C3199">
      <w:rPr>
        <w:b/>
        <w:color w:val="365F91" w:themeColor="accent1" w:themeShade="BF"/>
      </w:rPr>
      <w:t>APAC</w:t>
    </w:r>
    <w:r>
      <w:rPr>
        <w:color w:val="365F91" w:themeColor="accent1" w:themeShade="BF"/>
      </w:rPr>
      <w:t xml:space="preserve"> XXX</w:t>
    </w:r>
  </w:p>
  <w:bookmarkEnd w:id="8"/>
  <w:p w14:paraId="6356EBE2" w14:textId="77777777" w:rsidR="003A50DA" w:rsidRDefault="003A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306314"/>
    <w:multiLevelType w:val="hybridMultilevel"/>
    <w:tmpl w:val="8EC8F2AC"/>
    <w:lvl w:ilvl="0" w:tplc="ED72C31C">
      <w:start w:val="1"/>
      <w:numFmt w:val="decimal"/>
      <w:lvlText w:val="%1."/>
      <w:lvlJc w:val="left"/>
      <w:pPr>
        <w:ind w:left="1208" w:hanging="8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23896"/>
    <w:multiLevelType w:val="hybridMultilevel"/>
    <w:tmpl w:val="1826B8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2A86C85"/>
    <w:multiLevelType w:val="hybridMultilevel"/>
    <w:tmpl w:val="0506F312"/>
    <w:lvl w:ilvl="0" w:tplc="1ED2CF08">
      <w:start w:val="1"/>
      <w:numFmt w:val="lowerLetter"/>
      <w:lvlText w:val="(%1)"/>
      <w:lvlJc w:val="righ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231E601F"/>
    <w:multiLevelType w:val="singleLevel"/>
    <w:tmpl w:val="A89635E6"/>
    <w:lvl w:ilvl="0">
      <w:start w:val="2"/>
      <w:numFmt w:val="decimal"/>
      <w:lvlText w:val="%1."/>
      <w:lvlJc w:val="left"/>
      <w:pPr>
        <w:tabs>
          <w:tab w:val="num" w:pos="1425"/>
        </w:tabs>
        <w:ind w:left="1425" w:hanging="1425"/>
      </w:pPr>
      <w:rPr>
        <w:rFonts w:hint="default"/>
      </w:rPr>
    </w:lvl>
  </w:abstractNum>
  <w:abstractNum w:abstractNumId="6" w15:restartNumberingAfterBreak="0">
    <w:nsid w:val="238D1E0B"/>
    <w:multiLevelType w:val="hybridMultilevel"/>
    <w:tmpl w:val="76621C9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3C61DBF"/>
    <w:multiLevelType w:val="hybridMultilevel"/>
    <w:tmpl w:val="EA76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A5484"/>
    <w:multiLevelType w:val="hybridMultilevel"/>
    <w:tmpl w:val="0298CA2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2CFD11D4"/>
    <w:multiLevelType w:val="hybridMultilevel"/>
    <w:tmpl w:val="41CC8DE4"/>
    <w:lvl w:ilvl="0" w:tplc="1ED2CF08">
      <w:start w:val="1"/>
      <w:numFmt w:val="lowerLetter"/>
      <w:lvlText w:val="(%1)"/>
      <w:lvlJc w:val="righ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3D053951"/>
    <w:multiLevelType w:val="hybridMultilevel"/>
    <w:tmpl w:val="0F1A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20331"/>
    <w:multiLevelType w:val="hybridMultilevel"/>
    <w:tmpl w:val="2FBE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9372C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5"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55667A"/>
    <w:multiLevelType w:val="hybridMultilevel"/>
    <w:tmpl w:val="C4661E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13616F1"/>
    <w:multiLevelType w:val="hybridMultilevel"/>
    <w:tmpl w:val="B6C89D5C"/>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9" w15:restartNumberingAfterBreak="0">
    <w:nsid w:val="6E33753C"/>
    <w:multiLevelType w:val="hybridMultilevel"/>
    <w:tmpl w:val="92CE511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1"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9B86518"/>
    <w:multiLevelType w:val="hybridMultilevel"/>
    <w:tmpl w:val="36A4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2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 w:numId="10">
    <w:abstractNumId w:val="13"/>
  </w:num>
  <w:num w:numId="11">
    <w:abstractNumId w:val="8"/>
  </w:num>
  <w:num w:numId="12">
    <w:abstractNumId w:val="19"/>
  </w:num>
  <w:num w:numId="13">
    <w:abstractNumId w:val="4"/>
  </w:num>
  <w:num w:numId="14">
    <w:abstractNumId w:val="17"/>
  </w:num>
  <w:num w:numId="15">
    <w:abstractNumId w:val="9"/>
  </w:num>
  <w:num w:numId="16">
    <w:abstractNumId w:val="18"/>
  </w:num>
  <w:num w:numId="17">
    <w:abstractNumId w:val="10"/>
  </w:num>
  <w:num w:numId="18">
    <w:abstractNumId w:val="22"/>
  </w:num>
  <w:num w:numId="19">
    <w:abstractNumId w:val="7"/>
  </w:num>
  <w:num w:numId="20">
    <w:abstractNumId w:val="2"/>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4C80"/>
    <w:rsid w:val="00045622"/>
    <w:rsid w:val="00045F77"/>
    <w:rsid w:val="000522D4"/>
    <w:rsid w:val="000529BF"/>
    <w:rsid w:val="00053B30"/>
    <w:rsid w:val="0005429A"/>
    <w:rsid w:val="00054CD3"/>
    <w:rsid w:val="00056CF2"/>
    <w:rsid w:val="00057081"/>
    <w:rsid w:val="0005708B"/>
    <w:rsid w:val="00057F70"/>
    <w:rsid w:val="00060A4B"/>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461D"/>
    <w:rsid w:val="00075CFD"/>
    <w:rsid w:val="00077E26"/>
    <w:rsid w:val="00080C5C"/>
    <w:rsid w:val="00080DD1"/>
    <w:rsid w:val="00080FEA"/>
    <w:rsid w:val="000818BD"/>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62C1"/>
    <w:rsid w:val="000B7785"/>
    <w:rsid w:val="000B7794"/>
    <w:rsid w:val="000C1CE0"/>
    <w:rsid w:val="000C34CA"/>
    <w:rsid w:val="000C6C00"/>
    <w:rsid w:val="000D0979"/>
    <w:rsid w:val="000D1070"/>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56DA"/>
    <w:rsid w:val="00106087"/>
    <w:rsid w:val="00106FC5"/>
    <w:rsid w:val="00107CC1"/>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1028"/>
    <w:rsid w:val="001313D1"/>
    <w:rsid w:val="00131DCF"/>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75F"/>
    <w:rsid w:val="00182D66"/>
    <w:rsid w:val="0018441F"/>
    <w:rsid w:val="0018534C"/>
    <w:rsid w:val="00185487"/>
    <w:rsid w:val="00185AB7"/>
    <w:rsid w:val="001916B8"/>
    <w:rsid w:val="00193CA0"/>
    <w:rsid w:val="00194DB3"/>
    <w:rsid w:val="00195322"/>
    <w:rsid w:val="00196FD0"/>
    <w:rsid w:val="001A00F5"/>
    <w:rsid w:val="001A13F5"/>
    <w:rsid w:val="001A25DD"/>
    <w:rsid w:val="001A4C86"/>
    <w:rsid w:val="001A5B07"/>
    <w:rsid w:val="001B031B"/>
    <w:rsid w:val="001B0E26"/>
    <w:rsid w:val="001B1055"/>
    <w:rsid w:val="001B21BE"/>
    <w:rsid w:val="001B24DE"/>
    <w:rsid w:val="001B58CB"/>
    <w:rsid w:val="001B5FC5"/>
    <w:rsid w:val="001C0089"/>
    <w:rsid w:val="001C1372"/>
    <w:rsid w:val="001C2EE6"/>
    <w:rsid w:val="001C3F3A"/>
    <w:rsid w:val="001C422F"/>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46CC1"/>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56D8"/>
    <w:rsid w:val="002A6BFC"/>
    <w:rsid w:val="002A7945"/>
    <w:rsid w:val="002B12EA"/>
    <w:rsid w:val="002B2412"/>
    <w:rsid w:val="002B27BA"/>
    <w:rsid w:val="002B2D02"/>
    <w:rsid w:val="002B30C3"/>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3133"/>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57DE"/>
    <w:rsid w:val="00326FD6"/>
    <w:rsid w:val="003313AE"/>
    <w:rsid w:val="00331E0F"/>
    <w:rsid w:val="00331EED"/>
    <w:rsid w:val="00332D91"/>
    <w:rsid w:val="0033358E"/>
    <w:rsid w:val="003349B8"/>
    <w:rsid w:val="00335A20"/>
    <w:rsid w:val="003362F1"/>
    <w:rsid w:val="00336B3D"/>
    <w:rsid w:val="0033703A"/>
    <w:rsid w:val="00337C02"/>
    <w:rsid w:val="003408C1"/>
    <w:rsid w:val="003411BD"/>
    <w:rsid w:val="00341394"/>
    <w:rsid w:val="00341886"/>
    <w:rsid w:val="0034387F"/>
    <w:rsid w:val="00345CBE"/>
    <w:rsid w:val="003513F9"/>
    <w:rsid w:val="00351730"/>
    <w:rsid w:val="00351AEF"/>
    <w:rsid w:val="00353311"/>
    <w:rsid w:val="00353FCB"/>
    <w:rsid w:val="003560F8"/>
    <w:rsid w:val="003563D3"/>
    <w:rsid w:val="00356548"/>
    <w:rsid w:val="00356645"/>
    <w:rsid w:val="0035692D"/>
    <w:rsid w:val="00356FC8"/>
    <w:rsid w:val="0036050C"/>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0DA"/>
    <w:rsid w:val="003A5383"/>
    <w:rsid w:val="003A6B41"/>
    <w:rsid w:val="003A6C90"/>
    <w:rsid w:val="003A7101"/>
    <w:rsid w:val="003A7192"/>
    <w:rsid w:val="003B097B"/>
    <w:rsid w:val="003B202B"/>
    <w:rsid w:val="003B60BD"/>
    <w:rsid w:val="003B6D6F"/>
    <w:rsid w:val="003C24F9"/>
    <w:rsid w:val="003C2B3F"/>
    <w:rsid w:val="003C38EC"/>
    <w:rsid w:val="003C4F62"/>
    <w:rsid w:val="003C730B"/>
    <w:rsid w:val="003C7988"/>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155E"/>
    <w:rsid w:val="003F233D"/>
    <w:rsid w:val="003F4622"/>
    <w:rsid w:val="003F4EF3"/>
    <w:rsid w:val="003F6455"/>
    <w:rsid w:val="003F73A0"/>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5CA1"/>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35BD6"/>
    <w:rsid w:val="004429ED"/>
    <w:rsid w:val="004463B0"/>
    <w:rsid w:val="00451BD9"/>
    <w:rsid w:val="00452BE3"/>
    <w:rsid w:val="00453730"/>
    <w:rsid w:val="0045456B"/>
    <w:rsid w:val="00457860"/>
    <w:rsid w:val="00461B5D"/>
    <w:rsid w:val="00462C30"/>
    <w:rsid w:val="00462EF1"/>
    <w:rsid w:val="00463ADB"/>
    <w:rsid w:val="0046403E"/>
    <w:rsid w:val="00465643"/>
    <w:rsid w:val="0046627F"/>
    <w:rsid w:val="00466435"/>
    <w:rsid w:val="00474F13"/>
    <w:rsid w:val="00476381"/>
    <w:rsid w:val="0047638F"/>
    <w:rsid w:val="00480944"/>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A0DE1"/>
    <w:rsid w:val="004A121E"/>
    <w:rsid w:val="004A2EF9"/>
    <w:rsid w:val="004A3A71"/>
    <w:rsid w:val="004A4112"/>
    <w:rsid w:val="004A6AEB"/>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4F46"/>
    <w:rsid w:val="004D5574"/>
    <w:rsid w:val="004D5F5F"/>
    <w:rsid w:val="004D61F9"/>
    <w:rsid w:val="004D62F9"/>
    <w:rsid w:val="004D671A"/>
    <w:rsid w:val="004D6861"/>
    <w:rsid w:val="004D729B"/>
    <w:rsid w:val="004D748D"/>
    <w:rsid w:val="004E0AD0"/>
    <w:rsid w:val="004E0AE4"/>
    <w:rsid w:val="004E1EB1"/>
    <w:rsid w:val="004E2F71"/>
    <w:rsid w:val="004E6225"/>
    <w:rsid w:val="004E63A2"/>
    <w:rsid w:val="004E79A9"/>
    <w:rsid w:val="004F0AD4"/>
    <w:rsid w:val="004F2368"/>
    <w:rsid w:val="004F2DAE"/>
    <w:rsid w:val="004F3587"/>
    <w:rsid w:val="004F3668"/>
    <w:rsid w:val="004F423F"/>
    <w:rsid w:val="004F6C6D"/>
    <w:rsid w:val="004F710B"/>
    <w:rsid w:val="004F7885"/>
    <w:rsid w:val="004F7CEF"/>
    <w:rsid w:val="00500855"/>
    <w:rsid w:val="00500EAD"/>
    <w:rsid w:val="00502F2E"/>
    <w:rsid w:val="005036F5"/>
    <w:rsid w:val="00503EB0"/>
    <w:rsid w:val="005042FF"/>
    <w:rsid w:val="0050433F"/>
    <w:rsid w:val="005056CA"/>
    <w:rsid w:val="00511899"/>
    <w:rsid w:val="005118A8"/>
    <w:rsid w:val="00511E64"/>
    <w:rsid w:val="0051502F"/>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208"/>
    <w:rsid w:val="00573E9D"/>
    <w:rsid w:val="005764EB"/>
    <w:rsid w:val="0057698F"/>
    <w:rsid w:val="005770AC"/>
    <w:rsid w:val="005815B6"/>
    <w:rsid w:val="0058165B"/>
    <w:rsid w:val="00582614"/>
    <w:rsid w:val="00585A82"/>
    <w:rsid w:val="00587044"/>
    <w:rsid w:val="00592707"/>
    <w:rsid w:val="00593DE7"/>
    <w:rsid w:val="00594E3D"/>
    <w:rsid w:val="00595CD1"/>
    <w:rsid w:val="00596B32"/>
    <w:rsid w:val="005A441F"/>
    <w:rsid w:val="005B040C"/>
    <w:rsid w:val="005B18C9"/>
    <w:rsid w:val="005B20F6"/>
    <w:rsid w:val="005B3BF0"/>
    <w:rsid w:val="005B3D3C"/>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5483"/>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3285"/>
    <w:rsid w:val="006237A3"/>
    <w:rsid w:val="00623836"/>
    <w:rsid w:val="006241B2"/>
    <w:rsid w:val="00624F9F"/>
    <w:rsid w:val="006255D9"/>
    <w:rsid w:val="00625E38"/>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41A0"/>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0F34"/>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2C54"/>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0F7F"/>
    <w:rsid w:val="006E1573"/>
    <w:rsid w:val="006E1C72"/>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012C"/>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A90"/>
    <w:rsid w:val="00732FF8"/>
    <w:rsid w:val="007347A7"/>
    <w:rsid w:val="00736B09"/>
    <w:rsid w:val="00737229"/>
    <w:rsid w:val="007413B2"/>
    <w:rsid w:val="00746849"/>
    <w:rsid w:val="00746EB3"/>
    <w:rsid w:val="007474DB"/>
    <w:rsid w:val="007507A7"/>
    <w:rsid w:val="007521FA"/>
    <w:rsid w:val="00752C64"/>
    <w:rsid w:val="00752D05"/>
    <w:rsid w:val="00752FC3"/>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97E30"/>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0BD6"/>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5990"/>
    <w:rsid w:val="00805F77"/>
    <w:rsid w:val="00806C46"/>
    <w:rsid w:val="00807415"/>
    <w:rsid w:val="00807825"/>
    <w:rsid w:val="00810FF6"/>
    <w:rsid w:val="00811583"/>
    <w:rsid w:val="00812110"/>
    <w:rsid w:val="00814D49"/>
    <w:rsid w:val="0081509B"/>
    <w:rsid w:val="008162DE"/>
    <w:rsid w:val="008211C4"/>
    <w:rsid w:val="008215C0"/>
    <w:rsid w:val="00821BAD"/>
    <w:rsid w:val="0082446D"/>
    <w:rsid w:val="00824C90"/>
    <w:rsid w:val="00825ED3"/>
    <w:rsid w:val="008274B4"/>
    <w:rsid w:val="008315DB"/>
    <w:rsid w:val="00832E12"/>
    <w:rsid w:val="00834CC3"/>
    <w:rsid w:val="008359CB"/>
    <w:rsid w:val="00836563"/>
    <w:rsid w:val="00840478"/>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5040"/>
    <w:rsid w:val="00867D08"/>
    <w:rsid w:val="00871487"/>
    <w:rsid w:val="00871579"/>
    <w:rsid w:val="00872F72"/>
    <w:rsid w:val="00873FA2"/>
    <w:rsid w:val="00875345"/>
    <w:rsid w:val="0087643E"/>
    <w:rsid w:val="00876523"/>
    <w:rsid w:val="00876D44"/>
    <w:rsid w:val="008771E8"/>
    <w:rsid w:val="008772B7"/>
    <w:rsid w:val="008773EB"/>
    <w:rsid w:val="008807F8"/>
    <w:rsid w:val="00882355"/>
    <w:rsid w:val="00882C19"/>
    <w:rsid w:val="00883B32"/>
    <w:rsid w:val="00884083"/>
    <w:rsid w:val="008846EC"/>
    <w:rsid w:val="00884AFE"/>
    <w:rsid w:val="0088771D"/>
    <w:rsid w:val="00887C71"/>
    <w:rsid w:val="008920C7"/>
    <w:rsid w:val="0089599A"/>
    <w:rsid w:val="008960F2"/>
    <w:rsid w:val="008964FD"/>
    <w:rsid w:val="008974F3"/>
    <w:rsid w:val="008A1947"/>
    <w:rsid w:val="008A2DCE"/>
    <w:rsid w:val="008A49F0"/>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24E3"/>
    <w:rsid w:val="0093333D"/>
    <w:rsid w:val="00936809"/>
    <w:rsid w:val="00936B33"/>
    <w:rsid w:val="0093714D"/>
    <w:rsid w:val="00937C4C"/>
    <w:rsid w:val="0094113B"/>
    <w:rsid w:val="00942E16"/>
    <w:rsid w:val="00943970"/>
    <w:rsid w:val="00943AC3"/>
    <w:rsid w:val="00943F18"/>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6A7D"/>
    <w:rsid w:val="00987845"/>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1CBF"/>
    <w:rsid w:val="009D264C"/>
    <w:rsid w:val="009D3D4D"/>
    <w:rsid w:val="009D66C3"/>
    <w:rsid w:val="009D7C8F"/>
    <w:rsid w:val="009E125F"/>
    <w:rsid w:val="009E29BB"/>
    <w:rsid w:val="009E2BB4"/>
    <w:rsid w:val="009E30A2"/>
    <w:rsid w:val="009E33B7"/>
    <w:rsid w:val="009E59FB"/>
    <w:rsid w:val="009E7568"/>
    <w:rsid w:val="009F02C6"/>
    <w:rsid w:val="009F0DD2"/>
    <w:rsid w:val="009F1063"/>
    <w:rsid w:val="009F1B00"/>
    <w:rsid w:val="009F1F36"/>
    <w:rsid w:val="009F3F14"/>
    <w:rsid w:val="009F4BDD"/>
    <w:rsid w:val="009F5217"/>
    <w:rsid w:val="009F5EC4"/>
    <w:rsid w:val="009F6550"/>
    <w:rsid w:val="00A00886"/>
    <w:rsid w:val="00A00F45"/>
    <w:rsid w:val="00A01856"/>
    <w:rsid w:val="00A02D13"/>
    <w:rsid w:val="00A03D1A"/>
    <w:rsid w:val="00A0491C"/>
    <w:rsid w:val="00A075A0"/>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47CB"/>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37C"/>
    <w:rsid w:val="00A76F73"/>
    <w:rsid w:val="00A77491"/>
    <w:rsid w:val="00A776CA"/>
    <w:rsid w:val="00A77841"/>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188"/>
    <w:rsid w:val="00AC7262"/>
    <w:rsid w:val="00AD1E76"/>
    <w:rsid w:val="00AD2F5C"/>
    <w:rsid w:val="00AD4FC5"/>
    <w:rsid w:val="00AD5093"/>
    <w:rsid w:val="00AD58D4"/>
    <w:rsid w:val="00AD5F71"/>
    <w:rsid w:val="00AD6D47"/>
    <w:rsid w:val="00AD7AF0"/>
    <w:rsid w:val="00AD7BFA"/>
    <w:rsid w:val="00AE082F"/>
    <w:rsid w:val="00AE1C65"/>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72A3"/>
    <w:rsid w:val="00B47F4C"/>
    <w:rsid w:val="00B50315"/>
    <w:rsid w:val="00B50ED5"/>
    <w:rsid w:val="00B513EB"/>
    <w:rsid w:val="00B51897"/>
    <w:rsid w:val="00B53591"/>
    <w:rsid w:val="00B56576"/>
    <w:rsid w:val="00B60BA8"/>
    <w:rsid w:val="00B62ACB"/>
    <w:rsid w:val="00B62DDA"/>
    <w:rsid w:val="00B633DF"/>
    <w:rsid w:val="00B655D2"/>
    <w:rsid w:val="00B66938"/>
    <w:rsid w:val="00B72986"/>
    <w:rsid w:val="00B7614C"/>
    <w:rsid w:val="00B769DA"/>
    <w:rsid w:val="00B77E70"/>
    <w:rsid w:val="00B81D09"/>
    <w:rsid w:val="00B82325"/>
    <w:rsid w:val="00B828D2"/>
    <w:rsid w:val="00B839F8"/>
    <w:rsid w:val="00B84371"/>
    <w:rsid w:val="00B84375"/>
    <w:rsid w:val="00B864C0"/>
    <w:rsid w:val="00B90342"/>
    <w:rsid w:val="00B95574"/>
    <w:rsid w:val="00B95F53"/>
    <w:rsid w:val="00B9764F"/>
    <w:rsid w:val="00B97E45"/>
    <w:rsid w:val="00BA0632"/>
    <w:rsid w:val="00BA262B"/>
    <w:rsid w:val="00BA26FD"/>
    <w:rsid w:val="00BA450C"/>
    <w:rsid w:val="00BA65A5"/>
    <w:rsid w:val="00BA682A"/>
    <w:rsid w:val="00BA78A5"/>
    <w:rsid w:val="00BA7C46"/>
    <w:rsid w:val="00BB0E0E"/>
    <w:rsid w:val="00BB1D71"/>
    <w:rsid w:val="00BB46D8"/>
    <w:rsid w:val="00BB4829"/>
    <w:rsid w:val="00BB5D8A"/>
    <w:rsid w:val="00BB6BA4"/>
    <w:rsid w:val="00BB7BBA"/>
    <w:rsid w:val="00BC09E0"/>
    <w:rsid w:val="00BC1493"/>
    <w:rsid w:val="00BC19CF"/>
    <w:rsid w:val="00BC3AC9"/>
    <w:rsid w:val="00BC4122"/>
    <w:rsid w:val="00BC4928"/>
    <w:rsid w:val="00BC54C1"/>
    <w:rsid w:val="00BC66DA"/>
    <w:rsid w:val="00BC7365"/>
    <w:rsid w:val="00BC7963"/>
    <w:rsid w:val="00BD03F7"/>
    <w:rsid w:val="00BD336C"/>
    <w:rsid w:val="00BD5CA6"/>
    <w:rsid w:val="00BD6215"/>
    <w:rsid w:val="00BD779A"/>
    <w:rsid w:val="00BE1900"/>
    <w:rsid w:val="00BE205C"/>
    <w:rsid w:val="00BE281B"/>
    <w:rsid w:val="00BE2FC4"/>
    <w:rsid w:val="00BE4229"/>
    <w:rsid w:val="00BE55FD"/>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2A2"/>
    <w:rsid w:val="00C05EB1"/>
    <w:rsid w:val="00C05FCF"/>
    <w:rsid w:val="00C0640F"/>
    <w:rsid w:val="00C06DC6"/>
    <w:rsid w:val="00C071EB"/>
    <w:rsid w:val="00C107C6"/>
    <w:rsid w:val="00C1123A"/>
    <w:rsid w:val="00C12DBB"/>
    <w:rsid w:val="00C13C2E"/>
    <w:rsid w:val="00C1435A"/>
    <w:rsid w:val="00C16988"/>
    <w:rsid w:val="00C203E1"/>
    <w:rsid w:val="00C20733"/>
    <w:rsid w:val="00C2075A"/>
    <w:rsid w:val="00C20D43"/>
    <w:rsid w:val="00C2143C"/>
    <w:rsid w:val="00C21D9F"/>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9D6"/>
    <w:rsid w:val="00C62AD1"/>
    <w:rsid w:val="00C63F89"/>
    <w:rsid w:val="00C6477C"/>
    <w:rsid w:val="00C64822"/>
    <w:rsid w:val="00C67D75"/>
    <w:rsid w:val="00C701D9"/>
    <w:rsid w:val="00C75417"/>
    <w:rsid w:val="00C7626C"/>
    <w:rsid w:val="00C8103C"/>
    <w:rsid w:val="00C812B9"/>
    <w:rsid w:val="00C8133E"/>
    <w:rsid w:val="00C814B0"/>
    <w:rsid w:val="00C81B8B"/>
    <w:rsid w:val="00C83D65"/>
    <w:rsid w:val="00C86167"/>
    <w:rsid w:val="00C867FF"/>
    <w:rsid w:val="00C86BCC"/>
    <w:rsid w:val="00C876DD"/>
    <w:rsid w:val="00C90089"/>
    <w:rsid w:val="00C901E8"/>
    <w:rsid w:val="00C90A24"/>
    <w:rsid w:val="00C90B69"/>
    <w:rsid w:val="00C932E9"/>
    <w:rsid w:val="00C93780"/>
    <w:rsid w:val="00C93FA0"/>
    <w:rsid w:val="00C955B5"/>
    <w:rsid w:val="00C95736"/>
    <w:rsid w:val="00C96D18"/>
    <w:rsid w:val="00C96D52"/>
    <w:rsid w:val="00C970E8"/>
    <w:rsid w:val="00C973DE"/>
    <w:rsid w:val="00CA02BD"/>
    <w:rsid w:val="00CA296F"/>
    <w:rsid w:val="00CA2B92"/>
    <w:rsid w:val="00CA41FE"/>
    <w:rsid w:val="00CA44AD"/>
    <w:rsid w:val="00CA53DE"/>
    <w:rsid w:val="00CA6633"/>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0620"/>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064A"/>
    <w:rsid w:val="00D2324D"/>
    <w:rsid w:val="00D23B38"/>
    <w:rsid w:val="00D25A4D"/>
    <w:rsid w:val="00D3081D"/>
    <w:rsid w:val="00D32575"/>
    <w:rsid w:val="00D335D7"/>
    <w:rsid w:val="00D34C01"/>
    <w:rsid w:val="00D35104"/>
    <w:rsid w:val="00D36393"/>
    <w:rsid w:val="00D4191E"/>
    <w:rsid w:val="00D41A01"/>
    <w:rsid w:val="00D42C9A"/>
    <w:rsid w:val="00D43293"/>
    <w:rsid w:val="00D43DCA"/>
    <w:rsid w:val="00D4659E"/>
    <w:rsid w:val="00D51526"/>
    <w:rsid w:val="00D57AA8"/>
    <w:rsid w:val="00D60906"/>
    <w:rsid w:val="00D6122A"/>
    <w:rsid w:val="00D62287"/>
    <w:rsid w:val="00D64BAD"/>
    <w:rsid w:val="00D6537B"/>
    <w:rsid w:val="00D6559E"/>
    <w:rsid w:val="00D65D1D"/>
    <w:rsid w:val="00D65EF7"/>
    <w:rsid w:val="00D6680F"/>
    <w:rsid w:val="00D66FB9"/>
    <w:rsid w:val="00D67D1C"/>
    <w:rsid w:val="00D719B8"/>
    <w:rsid w:val="00D72A1B"/>
    <w:rsid w:val="00D75477"/>
    <w:rsid w:val="00D75E48"/>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186D"/>
    <w:rsid w:val="00D9339A"/>
    <w:rsid w:val="00D933F4"/>
    <w:rsid w:val="00D94604"/>
    <w:rsid w:val="00D95374"/>
    <w:rsid w:val="00D96C72"/>
    <w:rsid w:val="00DA19BE"/>
    <w:rsid w:val="00DA1BD8"/>
    <w:rsid w:val="00DA24FD"/>
    <w:rsid w:val="00DA2A23"/>
    <w:rsid w:val="00DA2BA8"/>
    <w:rsid w:val="00DA3ADC"/>
    <w:rsid w:val="00DA41CE"/>
    <w:rsid w:val="00DA6675"/>
    <w:rsid w:val="00DA6BDE"/>
    <w:rsid w:val="00DA6ED2"/>
    <w:rsid w:val="00DA756D"/>
    <w:rsid w:val="00DB1EC8"/>
    <w:rsid w:val="00DB354F"/>
    <w:rsid w:val="00DB37E3"/>
    <w:rsid w:val="00DB4C76"/>
    <w:rsid w:val="00DC0D15"/>
    <w:rsid w:val="00DC1C8B"/>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1EC6"/>
    <w:rsid w:val="00DF4306"/>
    <w:rsid w:val="00DF4A87"/>
    <w:rsid w:val="00DF5A49"/>
    <w:rsid w:val="00DF6972"/>
    <w:rsid w:val="00E00609"/>
    <w:rsid w:val="00E037B5"/>
    <w:rsid w:val="00E03F8A"/>
    <w:rsid w:val="00E05455"/>
    <w:rsid w:val="00E05587"/>
    <w:rsid w:val="00E05C94"/>
    <w:rsid w:val="00E06462"/>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71C1"/>
    <w:rsid w:val="00E47613"/>
    <w:rsid w:val="00E478FF"/>
    <w:rsid w:val="00E505C5"/>
    <w:rsid w:val="00E50B3A"/>
    <w:rsid w:val="00E52400"/>
    <w:rsid w:val="00E52D08"/>
    <w:rsid w:val="00E53450"/>
    <w:rsid w:val="00E5359E"/>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0761"/>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380E"/>
    <w:rsid w:val="00F3417E"/>
    <w:rsid w:val="00F34686"/>
    <w:rsid w:val="00F35283"/>
    <w:rsid w:val="00F362D9"/>
    <w:rsid w:val="00F36822"/>
    <w:rsid w:val="00F36EF3"/>
    <w:rsid w:val="00F4035C"/>
    <w:rsid w:val="00F43450"/>
    <w:rsid w:val="00F43CC6"/>
    <w:rsid w:val="00F4742B"/>
    <w:rsid w:val="00F477FE"/>
    <w:rsid w:val="00F50531"/>
    <w:rsid w:val="00F513CD"/>
    <w:rsid w:val="00F51B9F"/>
    <w:rsid w:val="00F51CBB"/>
    <w:rsid w:val="00F51EF6"/>
    <w:rsid w:val="00F520A9"/>
    <w:rsid w:val="00F5283A"/>
    <w:rsid w:val="00F52CFA"/>
    <w:rsid w:val="00F551F0"/>
    <w:rsid w:val="00F5523B"/>
    <w:rsid w:val="00F55252"/>
    <w:rsid w:val="00F55D43"/>
    <w:rsid w:val="00F573D7"/>
    <w:rsid w:val="00F62108"/>
    <w:rsid w:val="00F62D74"/>
    <w:rsid w:val="00F62E2A"/>
    <w:rsid w:val="00F633DE"/>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0100"/>
    <w:rsid w:val="00F814E6"/>
    <w:rsid w:val="00F83648"/>
    <w:rsid w:val="00F87E01"/>
    <w:rsid w:val="00F9104D"/>
    <w:rsid w:val="00F919A6"/>
    <w:rsid w:val="00F922C8"/>
    <w:rsid w:val="00F928E9"/>
    <w:rsid w:val="00F94A3B"/>
    <w:rsid w:val="00F94F2F"/>
    <w:rsid w:val="00F96294"/>
    <w:rsid w:val="00F977AC"/>
    <w:rsid w:val="00F97DAB"/>
    <w:rsid w:val="00FA002B"/>
    <w:rsid w:val="00FA1000"/>
    <w:rsid w:val="00FA3B00"/>
    <w:rsid w:val="00FA57B1"/>
    <w:rsid w:val="00FA6A5E"/>
    <w:rsid w:val="00FA75D8"/>
    <w:rsid w:val="00FA76D1"/>
    <w:rsid w:val="00FA7B26"/>
    <w:rsid w:val="00FB106D"/>
    <w:rsid w:val="00FB37B6"/>
    <w:rsid w:val="00FB4F45"/>
    <w:rsid w:val="00FB55D9"/>
    <w:rsid w:val="00FB5929"/>
    <w:rsid w:val="00FB6091"/>
    <w:rsid w:val="00FB6869"/>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1D6A"/>
    <w:rsid w:val="00FE3469"/>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C9"/>
    <w:pPr>
      <w:ind w:left="720"/>
      <w:contextualSpacing/>
    </w:pPr>
  </w:style>
  <w:style w:type="table" w:customStyle="1" w:styleId="TableGrid2">
    <w:name w:val="Table Grid2"/>
    <w:basedOn w:val="TableNormal"/>
    <w:next w:val="TableGrid"/>
    <w:rsid w:val="00415C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aac.org.mx" TargetMode="Externa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5BAE2-AE00-45CB-9401-64842AAD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18400</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2020-10-26T23:47:00Z</dcterms:created>
  <dcterms:modified xsi:type="dcterms:W3CDTF">2020-10-27T00:09:00Z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