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BA10" w14:textId="7296F43F" w:rsidR="00A72F9B" w:rsidRPr="00621D8E" w:rsidRDefault="002F2600" w:rsidP="001A260C">
      <w:pPr>
        <w:tabs>
          <w:tab w:val="right" w:pos="9480"/>
        </w:tabs>
        <w:jc w:val="center"/>
        <w:rPr>
          <w:b/>
        </w:rPr>
      </w:pPr>
      <w:r>
        <w:rPr>
          <w:noProof/>
          <w:lang w:val="en-US" w:eastAsia="zh-CN"/>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C4D0E13" w:rsidR="00EB547C" w:rsidRDefault="00EF19BC" w:rsidP="00E008AB">
      <w:pPr>
        <w:spacing w:after="220"/>
        <w:jc w:val="center"/>
        <w:rPr>
          <w:rFonts w:ascii="Arial" w:eastAsia="Times New Roman" w:hAnsi="Arial" w:cs="Arial"/>
          <w:b/>
          <w:bCs/>
          <w:szCs w:val="22"/>
          <w:lang w:eastAsia="en-AU"/>
        </w:rPr>
      </w:pPr>
      <w:r w:rsidRPr="00EF19BC">
        <w:rPr>
          <w:rFonts w:ascii="Arial" w:eastAsia="Times New Roman" w:hAnsi="Arial" w:cs="Arial"/>
          <w:b/>
          <w:bCs/>
          <w:szCs w:val="22"/>
          <w:lang w:eastAsia="en-AU"/>
        </w:rPr>
        <w:t>TECHNICAL COMMITTEE (LABORATORIES, INSPECTION BODIES, REFERENCE MATERIALS PRODUCERS, PROFICIENCY TESTING</w:t>
      </w:r>
      <w:r w:rsidR="00DF13C9">
        <w:rPr>
          <w:rFonts w:ascii="Arial" w:eastAsia="Times New Roman" w:hAnsi="Arial" w:cs="Arial"/>
          <w:b/>
          <w:bCs/>
          <w:szCs w:val="22"/>
          <w:lang w:eastAsia="en-AU"/>
        </w:rPr>
        <w:t xml:space="preserve"> AND BIOBANKS</w:t>
      </w:r>
      <w:r w:rsidRPr="00EF19BC">
        <w:rPr>
          <w:rFonts w:ascii="Arial" w:eastAsia="Times New Roman" w:hAnsi="Arial" w:cs="Arial"/>
          <w:b/>
          <w:bCs/>
          <w:szCs w:val="22"/>
          <w:lang w:eastAsia="en-AU"/>
        </w:rPr>
        <w:t>)</w:t>
      </w:r>
    </w:p>
    <w:p w14:paraId="04491F70" w14:textId="77777777" w:rsidR="00EF19BC" w:rsidRPr="00E008AB" w:rsidRDefault="00EF19BC" w:rsidP="00E008AB">
      <w:pPr>
        <w:spacing w:after="220"/>
        <w:jc w:val="center"/>
        <w:rPr>
          <w:rFonts w:ascii="Arial" w:eastAsia="Times New Roman" w:hAnsi="Arial" w:cs="Arial"/>
          <w:b/>
          <w:bCs/>
          <w:szCs w:val="22"/>
          <w:lang w:eastAsia="en-AU"/>
        </w:rPr>
      </w:pPr>
    </w:p>
    <w:p w14:paraId="6CED5C17" w14:textId="6FD22EF7" w:rsidR="00E008AB" w:rsidRPr="00A648DF"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31F81AA6" w:rsidR="00EF19BC" w:rsidRPr="00EF19BC" w:rsidRDefault="00EF19BC" w:rsidP="001C6C5C">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ISO/IEC 17000, Conformity assessment – General principles and vocabulary.</w:t>
      </w:r>
    </w:p>
    <w:p w14:paraId="6510F364" w14:textId="7803DE91" w:rsidR="00E008AB" w:rsidRPr="00EF19BC" w:rsidRDefault="00E008AB" w:rsidP="001C6C5C">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1B14A6E7" w14:textId="7F0E42E0" w:rsid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The purpose of the Committee is to:</w:t>
      </w:r>
    </w:p>
    <w:p w14:paraId="2B434980" w14:textId="7F60423A"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consider technical issues relating to the accreditation of testing and calibration laboratories, reference material producers (RMP), medical testing laboratories, inspection bodies (IB) </w:t>
      </w:r>
      <w:r w:rsidR="00DD30C4">
        <w:rPr>
          <w:rFonts w:ascii="Arial" w:hAnsi="Arial" w:cs="Arial" w:hint="eastAsia"/>
          <w:szCs w:val="22"/>
          <w:lang w:eastAsia="zh-CN"/>
        </w:rPr>
        <w:t>,</w:t>
      </w:r>
      <w:r w:rsidR="00DD30C4" w:rsidRPr="00EF19BC">
        <w:rPr>
          <w:rFonts w:ascii="Arial" w:eastAsia="Times New Roman" w:hAnsi="Arial" w:cs="Arial"/>
          <w:szCs w:val="22"/>
          <w:lang w:eastAsia="en-AU"/>
        </w:rPr>
        <w:t xml:space="preserve"> </w:t>
      </w:r>
      <w:r w:rsidRPr="00EF19BC">
        <w:rPr>
          <w:rFonts w:ascii="Arial" w:eastAsia="Times New Roman" w:hAnsi="Arial" w:cs="Arial"/>
          <w:szCs w:val="22"/>
          <w:lang w:eastAsia="en-AU"/>
        </w:rPr>
        <w:t>proficiency testing providers (PTP)</w:t>
      </w:r>
      <w:r w:rsidR="00DD30C4">
        <w:rPr>
          <w:rFonts w:ascii="Arial" w:hAnsi="Arial" w:cs="Arial" w:hint="eastAsia"/>
          <w:szCs w:val="22"/>
          <w:lang w:eastAsia="zh-CN"/>
        </w:rPr>
        <w:t xml:space="preserve"> and biobanks (BB)</w:t>
      </w:r>
      <w:r w:rsidRPr="00EF19BC">
        <w:rPr>
          <w:rFonts w:ascii="Arial" w:eastAsia="Times New Roman" w:hAnsi="Arial" w:cs="Arial"/>
          <w:szCs w:val="22"/>
          <w:lang w:eastAsia="en-AU"/>
        </w:rPr>
        <w:t>;</w:t>
      </w:r>
    </w:p>
    <w:p w14:paraId="52B193C2" w14:textId="5B25062E"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provide an opportunity for APAC members to share interpretations and details of accreditation programmes, criteria and procedures; and</w:t>
      </w:r>
    </w:p>
    <w:p w14:paraId="017E68C0" w14:textId="77777777" w:rsidR="00EF19BC" w:rsidRPr="00EF19BC" w:rsidRDefault="00EF19BC" w:rsidP="001C6C5C">
      <w:pPr>
        <w:numPr>
          <w:ilvl w:val="0"/>
          <w:numId w:val="15"/>
        </w:numPr>
        <w:spacing w:after="220"/>
        <w:rPr>
          <w:rFonts w:ascii="Arial" w:eastAsia="Times New Roman" w:hAnsi="Arial" w:cs="Arial"/>
          <w:szCs w:val="22"/>
          <w:lang w:eastAsia="en-AU"/>
        </w:rPr>
      </w:pPr>
      <w:r w:rsidRPr="00EF19BC">
        <w:rPr>
          <w:rFonts w:ascii="Arial" w:eastAsia="Times New Roman" w:hAnsi="Arial" w:cs="Arial"/>
          <w:szCs w:val="22"/>
          <w:lang w:eastAsia="en-AU"/>
        </w:rPr>
        <w:t>support the consistent interpretation and application of accreditation requirements by APAC Members in the areas of:</w:t>
      </w:r>
    </w:p>
    <w:p w14:paraId="6985371C"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testing and calibration (e.g. ISO/IEC 17025)</w:t>
      </w:r>
    </w:p>
    <w:p w14:paraId="36A01134" w14:textId="312A2B3D" w:rsidR="00EF19BC" w:rsidRPr="002D1C21"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reference material producers (e.g. </w:t>
      </w:r>
      <w:r w:rsidRPr="002D1C21">
        <w:rPr>
          <w:rFonts w:ascii="Arial" w:eastAsia="Times New Roman" w:hAnsi="Arial" w:cs="Arial"/>
          <w:szCs w:val="22"/>
          <w:lang w:eastAsia="en-AU"/>
        </w:rPr>
        <w:t>ISO 17034);</w:t>
      </w:r>
    </w:p>
    <w:p w14:paraId="35C0C9A3"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medical testing (e.g. ISO 15189); </w:t>
      </w:r>
    </w:p>
    <w:p w14:paraId="40045293" w14:textId="77777777"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inspection (e.g. ISO/IEC 17020); </w:t>
      </w:r>
    </w:p>
    <w:p w14:paraId="7B684650" w14:textId="77777777" w:rsidR="00DD30C4" w:rsidRPr="00DF13C9"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proficiency testing (ISO/IEC 17043); </w:t>
      </w:r>
    </w:p>
    <w:p w14:paraId="00E09B83" w14:textId="4317E385" w:rsidR="00EF19BC" w:rsidRPr="00EF19BC" w:rsidRDefault="00DD30C4" w:rsidP="001C6C5C">
      <w:pPr>
        <w:numPr>
          <w:ilvl w:val="0"/>
          <w:numId w:val="16"/>
        </w:numPr>
        <w:spacing w:after="220"/>
        <w:rPr>
          <w:rFonts w:ascii="Arial" w:eastAsia="Times New Roman" w:hAnsi="Arial" w:cs="Arial"/>
          <w:szCs w:val="22"/>
          <w:lang w:eastAsia="en-AU"/>
        </w:rPr>
      </w:pPr>
      <w:r>
        <w:rPr>
          <w:rFonts w:ascii="Arial" w:hAnsi="Arial" w:cs="Arial" w:hint="eastAsia"/>
          <w:szCs w:val="22"/>
          <w:lang w:eastAsia="zh-CN"/>
        </w:rPr>
        <w:t xml:space="preserve">biobanking (ISO 20387); </w:t>
      </w:r>
      <w:r w:rsidR="00EF19BC" w:rsidRPr="00EF19BC">
        <w:rPr>
          <w:rFonts w:ascii="Arial" w:eastAsia="Times New Roman" w:hAnsi="Arial" w:cs="Arial"/>
          <w:szCs w:val="22"/>
          <w:lang w:eastAsia="en-AU"/>
        </w:rPr>
        <w:t>and</w:t>
      </w:r>
    </w:p>
    <w:p w14:paraId="61288BA7" w14:textId="3CB778DD" w:rsidR="00EF19BC" w:rsidRPr="00EF19BC" w:rsidRDefault="00EF19BC" w:rsidP="001C6C5C">
      <w:pPr>
        <w:numPr>
          <w:ilvl w:val="0"/>
          <w:numId w:val="16"/>
        </w:numPr>
        <w:spacing w:after="220"/>
        <w:rPr>
          <w:rFonts w:ascii="Arial" w:eastAsia="Times New Roman" w:hAnsi="Arial" w:cs="Arial"/>
          <w:szCs w:val="22"/>
          <w:lang w:eastAsia="en-AU"/>
        </w:rPr>
      </w:pPr>
      <w:r w:rsidRPr="00EF19BC">
        <w:rPr>
          <w:rFonts w:ascii="Arial" w:eastAsia="Times New Roman" w:hAnsi="Arial" w:cs="Arial"/>
          <w:szCs w:val="22"/>
          <w:lang w:eastAsia="en-AU"/>
        </w:rPr>
        <w:lastRenderedPageBreak/>
        <w:t>other conformity assessment activities that are covered by the Technical Committee.</w:t>
      </w:r>
    </w:p>
    <w:p w14:paraId="4BD5F32B" w14:textId="77777777" w:rsidR="00EF19BC" w:rsidRPr="00E008AB" w:rsidRDefault="00EF19BC" w:rsidP="001C6C5C">
      <w:pPr>
        <w:spacing w:after="220"/>
        <w:rPr>
          <w:rFonts w:ascii="Arial" w:eastAsia="Times New Roman" w:hAnsi="Arial" w:cs="Arial"/>
          <w:szCs w:val="22"/>
          <w:lang w:eastAsia="en-AU"/>
        </w:rPr>
      </w:pPr>
    </w:p>
    <w:p w14:paraId="608EEF66" w14:textId="18B4DBB4" w:rsidR="00E008AB" w:rsidRPr="00C81E22"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4DB2263B" w14:textId="7E86EBC0" w:rsidR="00E008AB" w:rsidRPr="00E008AB" w:rsidRDefault="005E1605" w:rsidP="001C6C5C">
      <w:pPr>
        <w:spacing w:after="220"/>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3CE97FE5" w14:textId="2AD9A701"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identify, discuss and resolve technical issues related to accreditation of testing and calibration laboratories, reference material producers (RMP), medical testing laboratories, inspection bodies (IB)</w:t>
      </w:r>
      <w:r w:rsidR="00DD30C4">
        <w:rPr>
          <w:rFonts w:ascii="Arial" w:hAnsi="Arial" w:cs="Arial" w:hint="eastAsia"/>
          <w:szCs w:val="22"/>
          <w:lang w:eastAsia="zh-CN"/>
        </w:rPr>
        <w:t>,</w:t>
      </w:r>
      <w:r w:rsidRPr="00EF19BC">
        <w:rPr>
          <w:rFonts w:ascii="Arial" w:eastAsia="Times New Roman" w:hAnsi="Arial" w:cs="Arial"/>
          <w:szCs w:val="22"/>
          <w:lang w:eastAsia="en-AU"/>
        </w:rPr>
        <w:t xml:space="preserve"> proficiency testing providers (PTP)</w:t>
      </w:r>
      <w:r w:rsidR="00DD30C4" w:rsidRPr="00DD30C4">
        <w:rPr>
          <w:rFonts w:ascii="Arial" w:hAnsi="Arial" w:cs="Arial" w:hint="eastAsia"/>
          <w:szCs w:val="22"/>
          <w:lang w:eastAsia="zh-CN"/>
        </w:rPr>
        <w:t xml:space="preserve"> </w:t>
      </w:r>
      <w:r w:rsidR="00DD30C4">
        <w:rPr>
          <w:rFonts w:ascii="Arial" w:hAnsi="Arial" w:cs="Arial" w:hint="eastAsia"/>
          <w:szCs w:val="22"/>
          <w:lang w:eastAsia="zh-CN"/>
        </w:rPr>
        <w:t>and biobanks (BB)</w:t>
      </w:r>
      <w:r w:rsidRPr="00EF19BC">
        <w:rPr>
          <w:rFonts w:ascii="Arial" w:eastAsia="Times New Roman" w:hAnsi="Arial" w:cs="Arial"/>
          <w:szCs w:val="22"/>
          <w:lang w:eastAsia="en-AU"/>
        </w:rPr>
        <w:t>;</w:t>
      </w:r>
    </w:p>
    <w:p w14:paraId="64DC48B5" w14:textId="77777777" w:rsidR="001703A2" w:rsidRPr="00EF19BC" w:rsidRDefault="001703A2" w:rsidP="001C6C5C">
      <w:pPr>
        <w:rPr>
          <w:rFonts w:ascii="Arial" w:eastAsia="Times New Roman" w:hAnsi="Arial" w:cs="Arial"/>
          <w:szCs w:val="22"/>
          <w:lang w:eastAsia="en-AU"/>
        </w:rPr>
      </w:pPr>
    </w:p>
    <w:p w14:paraId="71DE43C2"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recommend adoption of ILAC mandatory/guidance documents with amendments as necessary to meet APAC needs;</w:t>
      </w:r>
    </w:p>
    <w:p w14:paraId="76DA5AEA" w14:textId="77777777" w:rsidR="001703A2" w:rsidRPr="00EF19BC" w:rsidRDefault="001703A2" w:rsidP="001C6C5C">
      <w:pPr>
        <w:rPr>
          <w:rFonts w:ascii="Arial" w:eastAsia="Times New Roman" w:hAnsi="Arial" w:cs="Arial"/>
          <w:szCs w:val="22"/>
          <w:lang w:eastAsia="en-AU"/>
        </w:rPr>
      </w:pPr>
    </w:p>
    <w:p w14:paraId="31DEC383" w14:textId="7AE8959F"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prepare APAC documents on technical issues related to accreditation of testing and calibration laboratories, reference material producers (RMP), medical testing laboratories, inspection bodies (IB)</w:t>
      </w:r>
      <w:r w:rsidR="00DD30C4">
        <w:rPr>
          <w:rFonts w:ascii="Arial" w:hAnsi="Arial" w:cs="Arial" w:hint="eastAsia"/>
          <w:szCs w:val="22"/>
          <w:lang w:eastAsia="zh-CN"/>
        </w:rPr>
        <w:t>,</w:t>
      </w:r>
      <w:r w:rsidRPr="00EF19BC">
        <w:rPr>
          <w:rFonts w:ascii="Arial" w:eastAsia="Times New Roman" w:hAnsi="Arial" w:cs="Arial"/>
          <w:szCs w:val="22"/>
          <w:lang w:eastAsia="en-AU"/>
        </w:rPr>
        <w:t xml:space="preserve"> proficiency testing providers (PTP)</w:t>
      </w:r>
      <w:r w:rsidR="00DD30C4" w:rsidRPr="00DD30C4">
        <w:rPr>
          <w:rFonts w:ascii="Arial" w:hAnsi="Arial" w:cs="Arial" w:hint="eastAsia"/>
          <w:szCs w:val="22"/>
          <w:lang w:eastAsia="zh-CN"/>
        </w:rPr>
        <w:t xml:space="preserve"> </w:t>
      </w:r>
      <w:r w:rsidR="00DD30C4" w:rsidRPr="00EF19BC">
        <w:rPr>
          <w:rFonts w:ascii="Arial" w:eastAsia="Times New Roman" w:hAnsi="Arial" w:cs="Arial"/>
          <w:szCs w:val="22"/>
          <w:lang w:eastAsia="en-AU"/>
        </w:rPr>
        <w:t xml:space="preserve">and </w:t>
      </w:r>
      <w:r w:rsidR="00DD30C4">
        <w:rPr>
          <w:rFonts w:ascii="Arial" w:hAnsi="Arial" w:cs="Arial" w:hint="eastAsia"/>
          <w:szCs w:val="22"/>
          <w:lang w:eastAsia="zh-CN"/>
        </w:rPr>
        <w:t>biobanks (ISO 20387);</w:t>
      </w:r>
      <w:r w:rsidRPr="00EF19BC">
        <w:rPr>
          <w:rFonts w:ascii="Arial" w:eastAsia="Times New Roman" w:hAnsi="Arial" w:cs="Arial"/>
          <w:szCs w:val="22"/>
          <w:lang w:eastAsia="en-AU"/>
        </w:rPr>
        <w:t xml:space="preserve">, which may contain material additional to existing ILAC documents, for approval </w:t>
      </w:r>
      <w:r w:rsidR="00BC79EB">
        <w:rPr>
          <w:rFonts w:ascii="Arial" w:eastAsia="Times New Roman" w:hAnsi="Arial" w:cs="Arial"/>
          <w:szCs w:val="22"/>
          <w:lang w:eastAsia="en-AU"/>
        </w:rPr>
        <w:t>by</w:t>
      </w:r>
      <w:r w:rsidRPr="00EF19BC">
        <w:rPr>
          <w:rFonts w:ascii="Arial" w:eastAsia="Times New Roman" w:hAnsi="Arial" w:cs="Arial"/>
          <w:szCs w:val="22"/>
          <w:lang w:eastAsia="en-AU"/>
        </w:rPr>
        <w:t xml:space="preserve"> the Executive Committee </w:t>
      </w:r>
      <w:r w:rsidR="00BC79EB">
        <w:rPr>
          <w:rFonts w:ascii="Arial" w:eastAsia="Times New Roman" w:hAnsi="Arial" w:cs="Arial"/>
          <w:szCs w:val="22"/>
          <w:lang w:eastAsia="en-AU"/>
        </w:rPr>
        <w:t>or the General Assembly</w:t>
      </w:r>
      <w:r w:rsidRPr="00EF19BC">
        <w:rPr>
          <w:rFonts w:ascii="Arial" w:eastAsia="Times New Roman" w:hAnsi="Arial" w:cs="Arial"/>
          <w:szCs w:val="22"/>
          <w:lang w:eastAsia="en-AU"/>
        </w:rPr>
        <w:t>;</w:t>
      </w:r>
    </w:p>
    <w:p w14:paraId="49FF3FD9" w14:textId="77777777" w:rsidR="001703A2" w:rsidRPr="00EF19BC" w:rsidRDefault="001703A2" w:rsidP="001C6C5C">
      <w:pPr>
        <w:rPr>
          <w:rFonts w:ascii="Arial" w:eastAsia="Times New Roman" w:hAnsi="Arial" w:cs="Arial"/>
          <w:szCs w:val="22"/>
          <w:lang w:eastAsia="en-AU"/>
        </w:rPr>
      </w:pPr>
    </w:p>
    <w:p w14:paraId="604137B4"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when requested, assist in developing requirements for the MRA process;</w:t>
      </w:r>
    </w:p>
    <w:p w14:paraId="4102E65B" w14:textId="77777777" w:rsidR="001703A2" w:rsidRPr="00EF19BC" w:rsidRDefault="001703A2" w:rsidP="001C6C5C">
      <w:pPr>
        <w:rPr>
          <w:rFonts w:ascii="Arial" w:eastAsia="Times New Roman" w:hAnsi="Arial" w:cs="Arial"/>
          <w:szCs w:val="22"/>
          <w:lang w:eastAsia="en-AU"/>
        </w:rPr>
      </w:pPr>
    </w:p>
    <w:p w14:paraId="274C1577"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provide a forum for APAC Members to discuss and make recommendations to the ILAC Accreditation Committee (AIC) and its relevant working groups and task forces, or other appropriate organizations on behalf of APAC;</w:t>
      </w:r>
    </w:p>
    <w:p w14:paraId="2CE038FE" w14:textId="77777777" w:rsidR="001703A2" w:rsidRPr="00EF19BC" w:rsidRDefault="001703A2" w:rsidP="001C6C5C">
      <w:pPr>
        <w:rPr>
          <w:rFonts w:ascii="Arial" w:eastAsia="Times New Roman" w:hAnsi="Arial" w:cs="Arial"/>
          <w:szCs w:val="22"/>
          <w:lang w:eastAsia="en-AU"/>
        </w:rPr>
      </w:pPr>
    </w:p>
    <w:p w14:paraId="30F73C0B"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avoid duplicating the work of other organisations, including duplication of requirements already contained in accreditation standards, nor set requirements additional to those contained in accreditation standards; and</w:t>
      </w:r>
    </w:p>
    <w:p w14:paraId="17C74EAF" w14:textId="77777777" w:rsidR="001703A2" w:rsidRPr="00EF19BC" w:rsidRDefault="001703A2" w:rsidP="001C6C5C">
      <w:pPr>
        <w:rPr>
          <w:rFonts w:ascii="Arial" w:eastAsia="Times New Roman" w:hAnsi="Arial" w:cs="Arial"/>
          <w:szCs w:val="22"/>
          <w:lang w:eastAsia="en-AU"/>
        </w:rPr>
      </w:pPr>
    </w:p>
    <w:p w14:paraId="54225D80"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enhance the consistent understanding and implementation of the accreditation standards among APAC members by formulating relevant guidance, criteria or consensus, which shall not, in principle, contradict to those formulated by ILAC;</w:t>
      </w:r>
    </w:p>
    <w:p w14:paraId="4569CDBE" w14:textId="77777777" w:rsidR="001703A2" w:rsidRPr="00EF19BC" w:rsidRDefault="001703A2" w:rsidP="001C6C5C">
      <w:pPr>
        <w:rPr>
          <w:rFonts w:ascii="Arial" w:eastAsia="Times New Roman" w:hAnsi="Arial" w:cs="Arial"/>
          <w:szCs w:val="22"/>
          <w:lang w:eastAsia="en-AU"/>
        </w:rPr>
      </w:pPr>
    </w:p>
    <w:p w14:paraId="0706CE7D"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consider questions relating to the operation of accreditation programs, and the need for development of mandatory or guidance documents for such programs; and</w:t>
      </w:r>
    </w:p>
    <w:p w14:paraId="2B2C4A6F" w14:textId="77777777" w:rsidR="001703A2" w:rsidRPr="00EF19BC" w:rsidRDefault="001703A2" w:rsidP="001C6C5C">
      <w:pPr>
        <w:rPr>
          <w:rFonts w:ascii="Arial" w:eastAsia="Times New Roman" w:hAnsi="Arial" w:cs="Arial"/>
          <w:szCs w:val="22"/>
          <w:lang w:eastAsia="en-AU"/>
        </w:rPr>
      </w:pPr>
    </w:p>
    <w:p w14:paraId="5D304091" w14:textId="77777777" w:rsidR="001703A2" w:rsidRPr="00EF19BC" w:rsidRDefault="001703A2" w:rsidP="001C6C5C">
      <w:pPr>
        <w:numPr>
          <w:ilvl w:val="0"/>
          <w:numId w:val="17"/>
        </w:numPr>
        <w:rPr>
          <w:rFonts w:ascii="Arial" w:eastAsia="Times New Roman" w:hAnsi="Arial" w:cs="Arial"/>
          <w:szCs w:val="22"/>
          <w:lang w:eastAsia="en-AU"/>
        </w:rPr>
      </w:pPr>
      <w:r w:rsidRPr="00EF19BC">
        <w:rPr>
          <w:rFonts w:ascii="Arial" w:eastAsia="Times New Roman" w:hAnsi="Arial" w:cs="Arial"/>
          <w:szCs w:val="22"/>
          <w:lang w:eastAsia="en-AU"/>
        </w:rPr>
        <w:t>make recommendations to the Executive Committee for submission to ILAC, ISO/CASCO or other appropriate organizations on behalf of APAC for the development of such documents.</w:t>
      </w:r>
    </w:p>
    <w:p w14:paraId="4E89DBA6" w14:textId="77777777" w:rsidR="001703A2" w:rsidRPr="001703A2" w:rsidRDefault="001703A2" w:rsidP="001C6C5C">
      <w:pPr>
        <w:spacing w:after="220"/>
        <w:rPr>
          <w:rFonts w:ascii="Arial" w:eastAsia="Times New Roman" w:hAnsi="Arial" w:cs="Arial"/>
          <w:b/>
          <w:bCs/>
          <w:szCs w:val="22"/>
          <w:lang w:eastAsia="en-AU"/>
        </w:rPr>
      </w:pPr>
    </w:p>
    <w:p w14:paraId="0B5A7009" w14:textId="048320E7" w:rsidR="00E008AB" w:rsidRPr="00CA7EC8"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0D7C804B" w:rsidR="00E008AB" w:rsidRPr="00E008AB"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0F4C206A" w:rsidR="001703A2" w:rsidRPr="001703A2"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lastRenderedPageBreak/>
        <w:t xml:space="preserve">All APAC Full Members, Associate Members, </w:t>
      </w:r>
      <w:r w:rsidR="00BC79EB">
        <w:rPr>
          <w:rFonts w:ascii="Arial" w:eastAsia="Times New Roman" w:hAnsi="Arial" w:cs="Arial"/>
          <w:szCs w:val="22"/>
          <w:lang w:eastAsia="en-AU"/>
        </w:rPr>
        <w:t xml:space="preserve">and </w:t>
      </w:r>
      <w:r w:rsidRPr="001703A2">
        <w:rPr>
          <w:rFonts w:ascii="Arial" w:eastAsia="Times New Roman" w:hAnsi="Arial" w:cs="Arial"/>
          <w:szCs w:val="22"/>
          <w:lang w:eastAsia="en-AU"/>
        </w:rPr>
        <w:t xml:space="preserve">Affiliates may nominate one person to be a member of the Committee.  </w:t>
      </w:r>
    </w:p>
    <w:p w14:paraId="0606337A" w14:textId="1BAE841D" w:rsidR="001703A2"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nominated person is expected to actively contribute to the work of the Committee during meetings and out-of-session, especially in relation to reading and commenting on draft documentation and otherwise actively participating in face-to-face, email and online discussions.</w:t>
      </w:r>
    </w:p>
    <w:p w14:paraId="318106EB" w14:textId="39C99415" w:rsidR="00E008AB" w:rsidRPr="00E008AB" w:rsidRDefault="00EC0A80"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w:t>
      </w:r>
      <w:r w:rsidR="007D354F">
        <w:rPr>
          <w:rFonts w:ascii="Arial" w:eastAsia="Times New Roman" w:hAnsi="Arial" w:cs="Arial"/>
          <w:szCs w:val="22"/>
          <w:lang w:eastAsia="en-AU"/>
        </w:rPr>
        <w:t xml:space="preserve">Secretariat </w:t>
      </w:r>
      <w:r>
        <w:rPr>
          <w:rFonts w:ascii="Arial" w:eastAsia="Times New Roman" w:hAnsi="Arial" w:cs="Arial"/>
          <w:szCs w:val="22"/>
          <w:lang w:eastAsia="en-AU"/>
        </w:rPr>
        <w:t xml:space="preserve">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3759D177" w14:textId="044CAD7C" w:rsidR="00E008AB" w:rsidRDefault="00E008AB" w:rsidP="001C6C5C">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Each member shall be designat</w:t>
      </w:r>
      <w:r w:rsidR="000A092C">
        <w:rPr>
          <w:rFonts w:ascii="Arial" w:eastAsia="Times New Roman" w:hAnsi="Arial" w:cs="Arial"/>
          <w:szCs w:val="22"/>
          <w:lang w:eastAsia="en-AU"/>
        </w:rPr>
        <w:t>ed</w:t>
      </w:r>
      <w:r w:rsidRPr="00E008AB">
        <w:rPr>
          <w:rFonts w:ascii="Arial" w:eastAsia="Times New Roman" w:hAnsi="Arial" w:cs="Arial"/>
          <w:szCs w:val="22"/>
          <w:lang w:eastAsia="en-AU"/>
        </w:rPr>
        <w:t xml:space="preserve"> as </w:t>
      </w:r>
      <w:r w:rsidR="000A092C">
        <w:rPr>
          <w:rFonts w:ascii="Arial" w:eastAsia="Times New Roman" w:hAnsi="Arial" w:cs="Arial"/>
          <w:szCs w:val="22"/>
          <w:lang w:eastAsia="en-AU"/>
        </w:rPr>
        <w:t>either</w:t>
      </w:r>
      <w:r w:rsidRPr="00E008AB">
        <w:rPr>
          <w:rFonts w:ascii="Arial" w:eastAsia="Times New Roman" w:hAnsi="Arial" w:cs="Arial"/>
          <w:szCs w:val="22"/>
          <w:lang w:eastAsia="en-AU"/>
        </w:rPr>
        <w:t xml:space="preserve">:  P = Participating member, O = Observer member, </w:t>
      </w:r>
      <w:r w:rsidR="000A092C">
        <w:rPr>
          <w:rFonts w:ascii="Arial" w:eastAsia="Times New Roman" w:hAnsi="Arial" w:cs="Arial"/>
          <w:szCs w:val="22"/>
          <w:lang w:eastAsia="en-AU"/>
        </w:rPr>
        <w:t xml:space="preserve">or </w:t>
      </w:r>
      <w:r w:rsidRPr="00E008AB">
        <w:rPr>
          <w:rFonts w:ascii="Arial" w:eastAsia="Times New Roman" w:hAnsi="Arial" w:cs="Arial"/>
          <w:szCs w:val="22"/>
          <w:lang w:eastAsia="en-AU"/>
        </w:rPr>
        <w:t>X = Ex-officio member.</w:t>
      </w:r>
    </w:p>
    <w:p w14:paraId="4D2230E7" w14:textId="77777777" w:rsidR="00BC79EB" w:rsidRDefault="00F72EDE"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to the 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796C5D35"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Chairperson</w:t>
      </w:r>
    </w:p>
    <w:p w14:paraId="32E51F8C" w14:textId="600FE784" w:rsidR="00E008AB" w:rsidRDefault="00E008AB" w:rsidP="001C6C5C">
      <w:pPr>
        <w:spacing w:after="220"/>
        <w:ind w:left="851"/>
        <w:rPr>
          <w:rFonts w:ascii="Arial" w:eastAsia="Times New Roman" w:hAnsi="Arial" w:cs="Arial"/>
          <w:szCs w:val="22"/>
          <w:lang w:eastAsia="en-AU"/>
        </w:rPr>
      </w:pPr>
      <w:r w:rsidRPr="007F48F6">
        <w:rPr>
          <w:rFonts w:ascii="Arial" w:eastAsia="Times New Roman" w:hAnsi="Arial" w:cs="Arial"/>
          <w:szCs w:val="22"/>
          <w:lang w:eastAsia="en-AU"/>
        </w:rPr>
        <w:t>The participating committee members shall elect the Chair</w:t>
      </w:r>
      <w:r w:rsidR="007F48F6">
        <w:rPr>
          <w:rFonts w:ascii="Arial" w:eastAsia="Times New Roman" w:hAnsi="Arial" w:cs="Arial"/>
          <w:szCs w:val="22"/>
          <w:lang w:eastAsia="en-AU"/>
        </w:rPr>
        <w:t>, whose appointment shall be ratified by the Executive Committee,</w:t>
      </w:r>
      <w:r w:rsidRPr="007F48F6">
        <w:rPr>
          <w:rFonts w:ascii="Arial" w:eastAsia="Times New Roman" w:hAnsi="Arial" w:cs="Arial"/>
          <w:szCs w:val="22"/>
          <w:lang w:eastAsia="en-AU"/>
        </w:rPr>
        <w:t xml:space="preserve"> </w:t>
      </w:r>
      <w:r w:rsidR="007F48F6">
        <w:rPr>
          <w:rFonts w:ascii="Arial" w:eastAsia="Times New Roman" w:hAnsi="Arial" w:cs="Arial"/>
          <w:szCs w:val="22"/>
          <w:lang w:eastAsia="en-AU"/>
        </w:rPr>
        <w:t>by simple majority</w:t>
      </w:r>
      <w:r w:rsidRPr="007F48F6">
        <w:rPr>
          <w:rFonts w:ascii="Arial" w:eastAsia="Times New Roman" w:hAnsi="Arial" w:cs="Arial"/>
          <w:szCs w:val="22"/>
          <w:lang w:eastAsia="en-AU"/>
        </w:rPr>
        <w:t>.</w:t>
      </w:r>
      <w:r w:rsidRPr="00E008AB">
        <w:rPr>
          <w:rFonts w:ascii="Arial" w:eastAsia="Times New Roman" w:hAnsi="Arial" w:cs="Arial"/>
          <w:szCs w:val="22"/>
          <w:lang w:eastAsia="en-AU"/>
        </w:rPr>
        <w:t xml:space="preserve">  </w:t>
      </w:r>
      <w:r w:rsidR="007F48F6">
        <w:rPr>
          <w:rFonts w:ascii="Arial" w:eastAsia="Times New Roman" w:hAnsi="Arial" w:cs="Arial"/>
          <w:szCs w:val="22"/>
          <w:lang w:eastAsia="en-AU"/>
        </w:rPr>
        <w:t>If the Committee is unable to agree and elect a Chair, the Executive Committee will appoint a Chair.</w:t>
      </w:r>
    </w:p>
    <w:p w14:paraId="6C9CA24B" w14:textId="00D449B6" w:rsidR="007F48F6" w:rsidRDefault="007F48F6"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w:t>
      </w:r>
      <w:r w:rsidRPr="007F48F6">
        <w:rPr>
          <w:rFonts w:ascii="Arial" w:eastAsia="Times New Roman" w:hAnsi="Arial" w:cs="Arial"/>
          <w:szCs w:val="22"/>
          <w:lang w:eastAsia="en-AU"/>
        </w:rPr>
        <w:t xml:space="preserve">participating committee members </w:t>
      </w:r>
      <w:r>
        <w:rPr>
          <w:rFonts w:ascii="Arial" w:eastAsia="Times New Roman" w:hAnsi="Arial" w:cs="Arial"/>
          <w:szCs w:val="22"/>
          <w:lang w:eastAsia="en-AU"/>
        </w:rPr>
        <w:t>may</w:t>
      </w:r>
      <w:r w:rsidRPr="007F48F6">
        <w:rPr>
          <w:rFonts w:ascii="Arial" w:eastAsia="Times New Roman" w:hAnsi="Arial" w:cs="Arial"/>
          <w:szCs w:val="22"/>
          <w:lang w:eastAsia="en-AU"/>
        </w:rPr>
        <w:t xml:space="preserve"> elect </w:t>
      </w:r>
      <w:r>
        <w:rPr>
          <w:rFonts w:ascii="Arial" w:eastAsia="Times New Roman" w:hAnsi="Arial" w:cs="Arial"/>
          <w:szCs w:val="22"/>
          <w:lang w:eastAsia="en-AU"/>
        </w:rPr>
        <w:t>a</w:t>
      </w:r>
      <w:r w:rsidRPr="007F48F6">
        <w:rPr>
          <w:rFonts w:ascii="Arial" w:eastAsia="Times New Roman" w:hAnsi="Arial" w:cs="Arial"/>
          <w:szCs w:val="22"/>
          <w:lang w:eastAsia="en-AU"/>
        </w:rPr>
        <w:t xml:space="preserve"> </w:t>
      </w:r>
      <w:r>
        <w:rPr>
          <w:rFonts w:ascii="Arial" w:eastAsia="Times New Roman" w:hAnsi="Arial" w:cs="Arial"/>
          <w:szCs w:val="22"/>
          <w:lang w:eastAsia="en-AU"/>
        </w:rPr>
        <w:t>Vice-</w:t>
      </w:r>
      <w:r w:rsidRPr="007F48F6">
        <w:rPr>
          <w:rFonts w:ascii="Arial" w:eastAsia="Times New Roman" w:hAnsi="Arial" w:cs="Arial"/>
          <w:szCs w:val="22"/>
          <w:lang w:eastAsia="en-AU"/>
        </w:rPr>
        <w:t>Chair</w:t>
      </w:r>
      <w:r>
        <w:rPr>
          <w:rFonts w:ascii="Arial" w:eastAsia="Times New Roman" w:hAnsi="Arial" w:cs="Arial"/>
          <w:szCs w:val="22"/>
          <w:lang w:eastAsia="en-AU"/>
        </w:rPr>
        <w:t>; this appointment does not require ratification by the Executive Committee.</w:t>
      </w:r>
    </w:p>
    <w:p w14:paraId="6B1C70CE" w14:textId="654F3D1A" w:rsidR="001703A2" w:rsidRPr="00E008AB" w:rsidRDefault="001703A2" w:rsidP="001C6C5C">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term of appointment of the Chair and Vice Chair of the Committee shall be for three years.  The Chair and Vice Chair shall not be eligible for re-election or appointment for more than two consecutive three</w:t>
      </w:r>
      <w:r>
        <w:rPr>
          <w:rFonts w:ascii="Arial" w:eastAsia="Times New Roman" w:hAnsi="Arial" w:cs="Arial"/>
          <w:szCs w:val="22"/>
          <w:lang w:eastAsia="en-AU"/>
        </w:rPr>
        <w:t>-</w:t>
      </w:r>
      <w:r w:rsidRPr="001703A2">
        <w:rPr>
          <w:rFonts w:ascii="Arial" w:eastAsia="Times New Roman" w:hAnsi="Arial" w:cs="Arial"/>
          <w:szCs w:val="22"/>
          <w:lang w:eastAsia="en-AU"/>
        </w:rPr>
        <w:t>year terms.</w:t>
      </w:r>
    </w:p>
    <w:p w14:paraId="1AF7FD07" w14:textId="61945705"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Secretary</w:t>
      </w:r>
    </w:p>
    <w:p w14:paraId="36B2ADBD" w14:textId="77545EDC" w:rsidR="00E008AB" w:rsidRPr="00E008AB" w:rsidRDefault="00E008AB" w:rsidP="001C6C5C">
      <w:pPr>
        <w:spacing w:after="220"/>
        <w:ind w:left="851"/>
        <w:rPr>
          <w:rFonts w:ascii="Arial" w:eastAsia="Times New Roman" w:hAnsi="Arial" w:cs="Arial"/>
          <w:szCs w:val="22"/>
          <w:lang w:eastAsia="en-AU"/>
        </w:rPr>
      </w:pPr>
      <w:r w:rsidRPr="0077486E">
        <w:rPr>
          <w:rFonts w:ascii="Arial" w:eastAsia="Times New Roman" w:hAnsi="Arial" w:cs="Arial"/>
          <w:szCs w:val="22"/>
          <w:lang w:eastAsia="en-AU"/>
        </w:rPr>
        <w:t xml:space="preserve">The Committee </w:t>
      </w:r>
      <w:r w:rsidR="00D92FC8">
        <w:rPr>
          <w:rFonts w:ascii="Arial" w:eastAsia="Times New Roman" w:hAnsi="Arial" w:cs="Arial"/>
          <w:szCs w:val="22"/>
          <w:lang w:eastAsia="en-AU"/>
        </w:rPr>
        <w:t xml:space="preserve">Secretary </w:t>
      </w:r>
      <w:r w:rsidRPr="0077486E">
        <w:rPr>
          <w:rFonts w:ascii="Arial" w:eastAsia="Times New Roman" w:hAnsi="Arial" w:cs="Arial"/>
          <w:szCs w:val="22"/>
          <w:lang w:eastAsia="en-AU"/>
        </w:rPr>
        <w:t xml:space="preserve">shall be provided by the APAC </w:t>
      </w:r>
      <w:r w:rsidR="000D3F01">
        <w:rPr>
          <w:rFonts w:ascii="Arial" w:eastAsia="Times New Roman" w:hAnsi="Arial" w:cs="Arial"/>
          <w:szCs w:val="22"/>
          <w:lang w:eastAsia="en-AU"/>
        </w:rPr>
        <w:t>Secretariat</w:t>
      </w:r>
      <w:r w:rsidRPr="0077486E">
        <w:rPr>
          <w:rFonts w:ascii="Arial" w:eastAsia="Times New Roman" w:hAnsi="Arial" w:cs="Arial"/>
          <w:szCs w:val="22"/>
          <w:lang w:eastAsia="en-AU"/>
        </w:rPr>
        <w:t>.</w:t>
      </w:r>
    </w:p>
    <w:p w14:paraId="6B85BD42" w14:textId="69CFE827" w:rsidR="00E008AB" w:rsidRPr="0077486E" w:rsidRDefault="0077486E" w:rsidP="001C6C5C">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77486E">
        <w:rPr>
          <w:rFonts w:ascii="Arial" w:eastAsia="Times New Roman" w:hAnsi="Arial" w:cs="Arial"/>
          <w:b/>
          <w:bCs/>
          <w:szCs w:val="22"/>
          <w:lang w:eastAsia="en-AU"/>
        </w:rPr>
        <w:t>Declarations and commitments</w:t>
      </w:r>
    </w:p>
    <w:p w14:paraId="6071A75E" w14:textId="3D16EFD9" w:rsidR="00C50BD5" w:rsidRDefault="00C50BD5" w:rsidP="001C6C5C">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1C6C5C">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1C6C5C">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1C6C5C">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1C6C5C">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1C6C5C">
      <w:pPr>
        <w:spacing w:after="220"/>
        <w:ind w:left="851"/>
        <w:rPr>
          <w:rFonts w:ascii="Arial" w:hAnsi="Arial" w:cs="Arial"/>
        </w:rPr>
      </w:pPr>
      <w:r w:rsidRPr="0077486E">
        <w:rPr>
          <w:rFonts w:ascii="Arial" w:hAnsi="Arial" w:cs="Arial"/>
        </w:rPr>
        <w:lastRenderedPageBreak/>
        <w:t xml:space="preserve">The APAC Secretary, or delegate, </w:t>
      </w:r>
      <w:r w:rsidR="009F5E55" w:rsidRPr="0077486E">
        <w:rPr>
          <w:rFonts w:ascii="Arial" w:hAnsi="Arial" w:cs="Arial"/>
        </w:rPr>
        <w:t>shall</w:t>
      </w:r>
      <w:r w:rsidRPr="0077486E">
        <w:rPr>
          <w:rFonts w:ascii="Arial" w:hAnsi="Arial" w:cs="Arial"/>
        </w:rPr>
        <w:t xml:space="preserve"> attend all meetings except when the Committee</w:t>
      </w:r>
      <w:r w:rsidR="00624D31" w:rsidRPr="0077486E">
        <w:rPr>
          <w:rFonts w:ascii="Arial" w:hAnsi="Arial" w:cs="Arial"/>
        </w:rPr>
        <w:t xml:space="preserve"> </w:t>
      </w:r>
      <w:r w:rsidRPr="0077486E">
        <w:rPr>
          <w:rFonts w:ascii="Arial" w:hAnsi="Arial" w:cs="Arial"/>
        </w:rPr>
        <w:t xml:space="preserve">Chair declares a matter is to be discussed </w:t>
      </w:r>
      <w:r w:rsidR="00AD31BF" w:rsidRPr="0077486E">
        <w:rPr>
          <w:rFonts w:ascii="Arial" w:hAnsi="Arial" w:cs="Arial"/>
        </w:rPr>
        <w:t>without their presence</w:t>
      </w:r>
      <w:r w:rsidRPr="0077486E">
        <w:rPr>
          <w:rFonts w:ascii="Arial" w:hAnsi="Arial" w:cs="Arial"/>
        </w:rPr>
        <w:t>.</w:t>
      </w:r>
    </w:p>
    <w:p w14:paraId="66B56825" w14:textId="77777777" w:rsidR="00E008AB" w:rsidRPr="00CA7EC8" w:rsidRDefault="00E008AB" w:rsidP="001C6C5C">
      <w:pPr>
        <w:pStyle w:val="ListParagraph"/>
        <w:numPr>
          <w:ilvl w:val="1"/>
          <w:numId w:val="7"/>
        </w:numPr>
        <w:spacing w:after="220"/>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78F0D690"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62BD74DE" w:rsidR="0021636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sidR="00CD5395" w:rsidRPr="00435E9F">
        <w:rPr>
          <w:rFonts w:ascii="Arial" w:eastAsia="Times New Roman" w:hAnsi="Arial" w:cs="Arial"/>
          <w:szCs w:val="22"/>
          <w:lang w:eastAsia="en-AU"/>
        </w:rPr>
        <w:t>14</w:t>
      </w:r>
      <w:r w:rsidRPr="00435E9F">
        <w:rPr>
          <w:rFonts w:ascii="Arial" w:eastAsia="Times New Roman" w:hAnsi="Arial" w:cs="Arial"/>
          <w:szCs w:val="22"/>
          <w:lang w:eastAsia="en-AU"/>
        </w:rPr>
        <w:t xml:space="preserve"> days prior</w:t>
      </w:r>
      <w:r w:rsidRPr="00E008AB">
        <w:rPr>
          <w:rFonts w:ascii="Arial" w:eastAsia="Times New Roman" w:hAnsi="Arial" w:cs="Arial"/>
          <w:szCs w:val="22"/>
          <w:lang w:eastAsia="en-AU"/>
        </w:rPr>
        <w:t xml:space="preserve">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3872CC1D"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435E9F">
        <w:rPr>
          <w:rFonts w:ascii="Arial" w:eastAsia="Times New Roman" w:hAnsi="Arial" w:cs="Arial"/>
          <w:szCs w:val="22"/>
          <w:lang w:eastAsia="en-AU"/>
        </w:rPr>
        <w:t>14</w:t>
      </w:r>
      <w:r w:rsidR="0021636B" w:rsidRPr="00435E9F">
        <w:rPr>
          <w:rFonts w:ascii="Arial" w:eastAsia="Times New Roman" w:hAnsi="Arial" w:cs="Arial"/>
          <w:szCs w:val="22"/>
          <w:lang w:eastAsia="en-AU"/>
        </w:rPr>
        <w:t xml:space="preserve"> days prior to the date of the meeting.</w:t>
      </w:r>
    </w:p>
    <w:p w14:paraId="39291CF8"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Quorum</w:t>
      </w:r>
    </w:p>
    <w:p w14:paraId="05AA0D8E" w14:textId="2624149A"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1C6C5C">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1C6C5C">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8538063" w:rsidR="00617A06" w:rsidRDefault="00617A06" w:rsidP="001C6C5C">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shall seek to reach decisions by a process of consensus but in the event that a vote is necessary, a simple majority of committee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38F5114D" w:rsidR="00E008AB" w:rsidRPr="00FC105E" w:rsidRDefault="00E008AB" w:rsidP="001C6C5C">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2F742D" w:rsidRPr="00FC105E">
        <w:rPr>
          <w:rFonts w:ascii="Arial" w:eastAsia="Times New Roman" w:hAnsi="Arial" w:cs="Arial"/>
          <w:b/>
          <w:bCs/>
          <w:szCs w:val="22"/>
          <w:lang w:eastAsia="en-AU"/>
        </w:rPr>
        <w:t>Executive Co</w:t>
      </w:r>
      <w:r w:rsidR="00E6326B" w:rsidRPr="00FC105E">
        <w:rPr>
          <w:rFonts w:ascii="Arial" w:eastAsia="Times New Roman" w:hAnsi="Arial" w:cs="Arial"/>
          <w:b/>
          <w:bCs/>
          <w:szCs w:val="22"/>
          <w:lang w:eastAsia="en-AU"/>
        </w:rPr>
        <w:t>mmittee</w:t>
      </w:r>
    </w:p>
    <w:p w14:paraId="67C125B8" w14:textId="55F2BF1E" w:rsidR="00E008AB" w:rsidRPr="00E008AB" w:rsidRDefault="00C16D71" w:rsidP="001C6C5C">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report to the Executive Committee at the Executive Committee’s next meeting on all matters relevant to the Committee’s role and responsibilities.</w:t>
      </w:r>
    </w:p>
    <w:p w14:paraId="77D0F8E1" w14:textId="77777777" w:rsidR="00E008AB" w:rsidRPr="00FC105E" w:rsidRDefault="00E008AB" w:rsidP="001C6C5C">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6DEFFCD5"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Minutes of proceedings and resolutions of the Committee shall be kept by the APAC </w:t>
      </w:r>
      <w:r w:rsidR="00D92FC8">
        <w:rPr>
          <w:rFonts w:ascii="Arial" w:eastAsia="Times New Roman" w:hAnsi="Arial" w:cs="Arial"/>
          <w:szCs w:val="22"/>
          <w:lang w:eastAsia="en-AU"/>
        </w:rPr>
        <w:t>Secretariat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6628D108" w:rsidR="00E008AB" w:rsidRPr="00E008AB" w:rsidRDefault="00E008AB" w:rsidP="001C6C5C">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44C28068" w14:textId="0FDAB484" w:rsidR="00E008AB" w:rsidRPr="00FC105E"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lastRenderedPageBreak/>
        <w:t>Committee Performance Evaluation</w:t>
      </w:r>
    </w:p>
    <w:p w14:paraId="40520DA5" w14:textId="31ABEA74"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6957FC3F"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1C5DF6">
        <w:rPr>
          <w:rFonts w:ascii="Arial" w:eastAsia="Times New Roman" w:hAnsi="Arial" w:cs="Arial"/>
          <w:szCs w:val="22"/>
          <w:lang w:eastAsia="en-AU"/>
        </w:rPr>
        <w:t>take into account</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3EBCB07D"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Executive Committee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79CE52F3" w14:textId="52C79050" w:rsidR="00E008AB" w:rsidRPr="00FC105E" w:rsidRDefault="00E008AB" w:rsidP="001C6C5C">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05A3EF88" w:rsidR="00E008AB" w:rsidRPr="00617A06" w:rsidRDefault="00E008AB" w:rsidP="001C6C5C">
      <w:pPr>
        <w:spacing w:after="220"/>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In </w:t>
      </w:r>
      <w:r w:rsidR="00617A06" w:rsidRPr="00617A06">
        <w:rPr>
          <w:rFonts w:ascii="Arial" w:eastAsia="Times New Roman" w:hAnsi="Arial" w:cs="Arial"/>
          <w:szCs w:val="22"/>
          <w:lang w:eastAsia="en-AU"/>
        </w:rPr>
        <w:t>the event that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1C6C5C">
      <w:pPr>
        <w:spacing w:after="220"/>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1C6C5C">
      <w:pPr>
        <w:rPr>
          <w:rFonts w:ascii="Arial" w:eastAsia="Times New Roman" w:hAnsi="Arial" w:cs="Arial"/>
          <w:b/>
          <w:bCs/>
          <w:szCs w:val="22"/>
          <w:lang w:eastAsia="en-AU"/>
        </w:rPr>
      </w:pPr>
    </w:p>
    <w:p w14:paraId="33EF609E" w14:textId="4CCB59B8" w:rsidR="00E008AB" w:rsidRPr="00440B3B" w:rsidRDefault="00F63E89" w:rsidP="001C6C5C">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1C6C5C">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63E89" w:rsidRPr="00764C2C" w14:paraId="5B4B9194" w14:textId="77777777" w:rsidTr="008335ED">
        <w:tc>
          <w:tcPr>
            <w:tcW w:w="1809" w:type="dxa"/>
          </w:tcPr>
          <w:p w14:paraId="77BF5C88" w14:textId="77777777" w:rsidR="00F63E89" w:rsidRPr="00764C2C" w:rsidRDefault="00F63E89" w:rsidP="001C6C5C">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1C6C5C">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DF13C9" w:rsidRPr="00764C2C" w14:paraId="2961FF7F" w14:textId="77777777" w:rsidTr="008335ED">
        <w:tc>
          <w:tcPr>
            <w:tcW w:w="1809" w:type="dxa"/>
          </w:tcPr>
          <w:p w14:paraId="5880B8F6" w14:textId="698D4AA9" w:rsidR="00DF13C9" w:rsidRPr="00764C2C" w:rsidRDefault="00DF13C9" w:rsidP="001C6C5C">
            <w:pPr>
              <w:tabs>
                <w:tab w:val="left" w:pos="1080"/>
                <w:tab w:val="left" w:pos="1276"/>
              </w:tabs>
              <w:spacing w:after="220"/>
              <w:rPr>
                <w:rFonts w:ascii="Arial" w:hAnsi="Arial" w:cs="Arial"/>
                <w:szCs w:val="22"/>
                <w:lang w:val="en-US" w:eastAsia="en-AU"/>
              </w:rPr>
            </w:pPr>
            <w:r>
              <w:rPr>
                <w:rFonts w:ascii="Arial" w:hAnsi="Arial" w:cs="Arial"/>
                <w:szCs w:val="22"/>
                <w:lang w:val="en-US" w:eastAsia="en-AU"/>
              </w:rPr>
              <w:t>All</w:t>
            </w:r>
          </w:p>
        </w:tc>
        <w:tc>
          <w:tcPr>
            <w:tcW w:w="6719" w:type="dxa"/>
          </w:tcPr>
          <w:p w14:paraId="5D4489A9" w14:textId="359C71F7" w:rsidR="00DF13C9" w:rsidRPr="00F63E89" w:rsidRDefault="00DF13C9" w:rsidP="001C6C5C">
            <w:pPr>
              <w:tabs>
                <w:tab w:val="left" w:pos="1080"/>
                <w:tab w:val="left" w:pos="1276"/>
              </w:tabs>
              <w:rPr>
                <w:rFonts w:ascii="Arial" w:hAnsi="Arial" w:cs="Arial"/>
                <w:szCs w:val="22"/>
                <w:lang w:val="en-US" w:eastAsia="en-AU"/>
              </w:rPr>
            </w:pPr>
            <w:r>
              <w:rPr>
                <w:rFonts w:ascii="Arial" w:hAnsi="Arial" w:cs="Arial"/>
                <w:szCs w:val="22"/>
                <w:lang w:val="en-US" w:eastAsia="en-AU"/>
              </w:rPr>
              <w:t>Editorial additions to include reference to biobanks.</w:t>
            </w:r>
          </w:p>
        </w:tc>
      </w:tr>
      <w:tr w:rsidR="00F63E89" w:rsidRPr="00764C2C" w14:paraId="3CED51F4" w14:textId="77777777" w:rsidTr="008335ED">
        <w:tc>
          <w:tcPr>
            <w:tcW w:w="1809" w:type="dxa"/>
          </w:tcPr>
          <w:p w14:paraId="7D1CC9F5" w14:textId="77777777" w:rsidR="00F63E89" w:rsidRPr="00764C2C" w:rsidRDefault="00F63E89" w:rsidP="001C6C5C">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1C6C5C">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1C6C5C">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1C6C5C">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1C6C5C">
            <w:pPr>
              <w:tabs>
                <w:tab w:val="left" w:pos="1080"/>
                <w:tab w:val="left" w:pos="1276"/>
              </w:tabs>
              <w:spacing w:after="220"/>
              <w:rPr>
                <w:rFonts w:ascii="Arial" w:hAnsi="Arial" w:cs="Arial"/>
                <w:szCs w:val="22"/>
                <w:lang w:val="en-US" w:eastAsia="en-AU"/>
              </w:rPr>
            </w:pPr>
          </w:p>
        </w:tc>
      </w:tr>
    </w:tbl>
    <w:p w14:paraId="18886EAD" w14:textId="77777777" w:rsidR="00EF19BC" w:rsidRPr="00E008AB" w:rsidRDefault="00EF19BC" w:rsidP="001C6C5C">
      <w:pPr>
        <w:rPr>
          <w:rFonts w:ascii="Arial" w:eastAsia="Times New Roman" w:hAnsi="Arial" w:cs="Arial"/>
          <w:szCs w:val="22"/>
          <w:lang w:eastAsia="en-AU"/>
        </w:rPr>
      </w:pPr>
    </w:p>
    <w:p w14:paraId="615655C8" w14:textId="0A4E77C8" w:rsidR="004A7A3B" w:rsidRPr="00E008AB" w:rsidRDefault="004A7A3B" w:rsidP="001C6C5C">
      <w:pPr>
        <w:spacing w:after="220"/>
        <w:rPr>
          <w:rFonts w:ascii="Arial" w:eastAsia="Times New Roman" w:hAnsi="Arial" w:cs="Arial"/>
          <w:szCs w:val="22"/>
          <w:lang w:eastAsia="en-AU"/>
        </w:rPr>
      </w:pPr>
    </w:p>
    <w:sectPr w:rsidR="004A7A3B"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53A0" w14:textId="77777777" w:rsidR="00A243FC" w:rsidRDefault="00A243FC">
      <w:r>
        <w:separator/>
      </w:r>
    </w:p>
  </w:endnote>
  <w:endnote w:type="continuationSeparator" w:id="0">
    <w:p w14:paraId="554625BD" w14:textId="77777777" w:rsidR="00A243FC" w:rsidRDefault="00A243FC">
      <w:r>
        <w:continuationSeparator/>
      </w:r>
    </w:p>
  </w:endnote>
  <w:endnote w:type="continuationNotice" w:id="1">
    <w:p w14:paraId="6CA818B0" w14:textId="77777777" w:rsidR="00A243FC" w:rsidRPr="00380812" w:rsidRDefault="00A243FC">
      <w:pPr>
        <w:pStyle w:val="Footer"/>
        <w:jc w:val="right"/>
        <w:rPr>
          <w:sz w:val="20"/>
        </w:rPr>
      </w:pPr>
      <w:r>
        <w:rPr>
          <w:sz w:val="20"/>
          <w:lang w:val="en-US" w:eastAsia="zh-CN"/>
        </w:rPr>
        <mc:AlternateContent>
          <mc:Choice Requires="wps">
            <w:drawing>
              <wp:anchor distT="0" distB="0" distL="114300" distR="114300" simplePos="0" relativeHeight="251659264" behindDoc="0" locked="0" layoutInCell="1" allowOverlap="1" wp14:anchorId="21A67696" wp14:editId="0A202393">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6806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07C813A6" w14:textId="77777777" w:rsidR="00A243FC" w:rsidRPr="00CF2B53" w:rsidRDefault="00A243F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00726037"/>
      <w:docPartObj>
        <w:docPartGallery w:val="Page Numbers (Bottom of Page)"/>
        <w:docPartUnique/>
      </w:docPartObj>
    </w:sdtPr>
    <w:sdtEndPr/>
    <w:sdtContent>
      <w:sdt>
        <w:sdtPr>
          <w:rPr>
            <w:sz w:val="16"/>
            <w:szCs w:val="16"/>
          </w:rPr>
          <w:id w:val="1379748840"/>
          <w:docPartObj>
            <w:docPartGallery w:val="Page Numbers (Top of Page)"/>
            <w:docPartUnique/>
          </w:docPartObj>
        </w:sdtPr>
        <w:sdtEndPr/>
        <w:sdtContent>
          <w:p w14:paraId="245F8A4F" w14:textId="679BB90A" w:rsidR="00EB547C" w:rsidRPr="00DF13C9" w:rsidRDefault="00EB547C" w:rsidP="00BE1900">
            <w:pPr>
              <w:pStyle w:val="Footer"/>
              <w:pBdr>
                <w:top w:val="single" w:sz="4" w:space="1" w:color="auto"/>
              </w:pBdr>
              <w:jc w:val="right"/>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894"/>
              <w:gridCol w:w="2805"/>
            </w:tblGrid>
            <w:tr w:rsidR="00EB547C" w:rsidRPr="00DF13C9" w14:paraId="587D9713" w14:textId="77777777" w:rsidTr="00A2607F">
              <w:tc>
                <w:tcPr>
                  <w:tcW w:w="4666" w:type="dxa"/>
                </w:tcPr>
                <w:p w14:paraId="1F9702BA" w14:textId="644C3FFD" w:rsidR="00EB547C" w:rsidRPr="00DF13C9" w:rsidRDefault="00EB547C" w:rsidP="00985DB4">
                  <w:pPr>
                    <w:pStyle w:val="Footer"/>
                    <w:tabs>
                      <w:tab w:val="clear" w:pos="4320"/>
                      <w:tab w:val="clear" w:pos="8640"/>
                    </w:tabs>
                    <w:jc w:val="left"/>
                    <w:rPr>
                      <w:sz w:val="16"/>
                      <w:szCs w:val="16"/>
                    </w:rPr>
                  </w:pPr>
                  <w:r w:rsidRPr="00DF13C9">
                    <w:rPr>
                      <w:sz w:val="16"/>
                      <w:szCs w:val="16"/>
                    </w:rPr>
                    <w:t>Issue No:</w:t>
                  </w:r>
                  <w:r w:rsidRPr="00DF13C9">
                    <w:rPr>
                      <w:sz w:val="16"/>
                      <w:szCs w:val="16"/>
                    </w:rPr>
                    <w:tab/>
                    <w:t xml:space="preserve"> </w:t>
                  </w:r>
                  <w:r w:rsidR="00DF13C9" w:rsidRPr="00DF13C9">
                    <w:rPr>
                      <w:sz w:val="16"/>
                      <w:szCs w:val="16"/>
                    </w:rPr>
                    <w:t>1.1</w:t>
                  </w:r>
                </w:p>
              </w:tc>
              <w:tc>
                <w:tcPr>
                  <w:tcW w:w="4667" w:type="dxa"/>
                </w:tcPr>
                <w:p w14:paraId="7F504E9E" w14:textId="112E5295" w:rsidR="00EB547C" w:rsidRPr="00DF13C9" w:rsidRDefault="00EB547C" w:rsidP="006535D3">
                  <w:pPr>
                    <w:pStyle w:val="Footer"/>
                    <w:jc w:val="left"/>
                    <w:rPr>
                      <w:sz w:val="16"/>
                      <w:szCs w:val="16"/>
                    </w:rPr>
                  </w:pPr>
                  <w:r w:rsidRPr="00DF13C9">
                    <w:rPr>
                      <w:sz w:val="16"/>
                      <w:szCs w:val="16"/>
                    </w:rPr>
                    <w:t>Issue Date: 1</w:t>
                  </w:r>
                  <w:r w:rsidR="00DF13C9" w:rsidRPr="00DF13C9">
                    <w:rPr>
                      <w:sz w:val="16"/>
                      <w:szCs w:val="16"/>
                    </w:rPr>
                    <w:t>3</w:t>
                  </w:r>
                  <w:r w:rsidRPr="00DF13C9">
                    <w:rPr>
                      <w:sz w:val="16"/>
                      <w:szCs w:val="16"/>
                    </w:rPr>
                    <w:t xml:space="preserve"> January 20</w:t>
                  </w:r>
                  <w:r w:rsidR="00DF13C9" w:rsidRPr="00DF13C9">
                    <w:rPr>
                      <w:sz w:val="16"/>
                      <w:szCs w:val="16"/>
                    </w:rPr>
                    <w:t>21</w:t>
                  </w:r>
                </w:p>
              </w:tc>
              <w:tc>
                <w:tcPr>
                  <w:tcW w:w="4667" w:type="dxa"/>
                </w:tcPr>
                <w:p w14:paraId="46E4F451" w14:textId="07BD52D7" w:rsidR="00EB547C" w:rsidRPr="00DF13C9" w:rsidRDefault="00EB547C" w:rsidP="006535D3">
                  <w:pPr>
                    <w:pStyle w:val="Footer"/>
                    <w:jc w:val="right"/>
                    <w:rPr>
                      <w:sz w:val="16"/>
                      <w:szCs w:val="16"/>
                    </w:rPr>
                  </w:pPr>
                  <w:r w:rsidRPr="00DF13C9">
                    <w:rPr>
                      <w:sz w:val="16"/>
                      <w:szCs w:val="16"/>
                    </w:rPr>
                    <w:t xml:space="preserve">Page </w:t>
                  </w:r>
                  <w:r w:rsidRPr="00DF13C9">
                    <w:rPr>
                      <w:b/>
                      <w:bCs/>
                      <w:sz w:val="16"/>
                      <w:szCs w:val="16"/>
                    </w:rPr>
                    <w:fldChar w:fldCharType="begin"/>
                  </w:r>
                  <w:r w:rsidRPr="00DF13C9">
                    <w:rPr>
                      <w:b/>
                      <w:bCs/>
                      <w:sz w:val="16"/>
                      <w:szCs w:val="16"/>
                    </w:rPr>
                    <w:instrText xml:space="preserve"> PAGE </w:instrText>
                  </w:r>
                  <w:r w:rsidRPr="00DF13C9">
                    <w:rPr>
                      <w:b/>
                      <w:bCs/>
                      <w:sz w:val="16"/>
                      <w:szCs w:val="16"/>
                    </w:rPr>
                    <w:fldChar w:fldCharType="separate"/>
                  </w:r>
                  <w:r w:rsidR="00DD30C4" w:rsidRPr="00DF13C9">
                    <w:rPr>
                      <w:b/>
                      <w:bCs/>
                      <w:sz w:val="16"/>
                      <w:szCs w:val="16"/>
                    </w:rPr>
                    <w:t>2</w:t>
                  </w:r>
                  <w:r w:rsidRPr="00DF13C9">
                    <w:rPr>
                      <w:b/>
                      <w:bCs/>
                      <w:sz w:val="16"/>
                      <w:szCs w:val="16"/>
                    </w:rPr>
                    <w:fldChar w:fldCharType="end"/>
                  </w:r>
                  <w:r w:rsidRPr="00DF13C9">
                    <w:rPr>
                      <w:sz w:val="16"/>
                      <w:szCs w:val="16"/>
                    </w:rPr>
                    <w:t xml:space="preserve"> of </w:t>
                  </w:r>
                  <w:r w:rsidRPr="00DF13C9">
                    <w:rPr>
                      <w:b/>
                      <w:bCs/>
                      <w:sz w:val="16"/>
                      <w:szCs w:val="16"/>
                    </w:rPr>
                    <w:fldChar w:fldCharType="begin"/>
                  </w:r>
                  <w:r w:rsidRPr="00DF13C9">
                    <w:rPr>
                      <w:b/>
                      <w:bCs/>
                      <w:sz w:val="16"/>
                      <w:szCs w:val="16"/>
                    </w:rPr>
                    <w:instrText xml:space="preserve"> NUMPAGES  </w:instrText>
                  </w:r>
                  <w:r w:rsidRPr="00DF13C9">
                    <w:rPr>
                      <w:b/>
                      <w:bCs/>
                      <w:sz w:val="16"/>
                      <w:szCs w:val="16"/>
                    </w:rPr>
                    <w:fldChar w:fldCharType="separate"/>
                  </w:r>
                  <w:r w:rsidR="00DD30C4" w:rsidRPr="00DF13C9">
                    <w:rPr>
                      <w:b/>
                      <w:bCs/>
                      <w:sz w:val="16"/>
                      <w:szCs w:val="16"/>
                    </w:rPr>
                    <w:t>5</w:t>
                  </w:r>
                  <w:r w:rsidRPr="00DF13C9">
                    <w:rPr>
                      <w:b/>
                      <w:bCs/>
                      <w:sz w:val="16"/>
                      <w:szCs w:val="16"/>
                    </w:rPr>
                    <w:fldChar w:fldCharType="end"/>
                  </w:r>
                </w:p>
              </w:tc>
            </w:tr>
            <w:tr w:rsidR="00EB547C" w:rsidRPr="00DF13C9" w14:paraId="0CE8600C" w14:textId="77777777" w:rsidTr="00A2607F">
              <w:tc>
                <w:tcPr>
                  <w:tcW w:w="4666" w:type="dxa"/>
                </w:tcPr>
                <w:p w14:paraId="5EA12198" w14:textId="77777777" w:rsidR="00EB547C" w:rsidRPr="00DF13C9" w:rsidRDefault="00EB547C" w:rsidP="006535D3">
                  <w:pPr>
                    <w:pStyle w:val="Footer"/>
                    <w:jc w:val="left"/>
                    <w:rPr>
                      <w:sz w:val="16"/>
                      <w:szCs w:val="16"/>
                    </w:rPr>
                  </w:pPr>
                </w:p>
              </w:tc>
              <w:tc>
                <w:tcPr>
                  <w:tcW w:w="4667" w:type="dxa"/>
                </w:tcPr>
                <w:p w14:paraId="6692A087" w14:textId="77777777" w:rsidR="00EB547C" w:rsidRPr="00DF13C9" w:rsidRDefault="00EB547C" w:rsidP="006535D3">
                  <w:pPr>
                    <w:pStyle w:val="Footer"/>
                    <w:jc w:val="left"/>
                    <w:rPr>
                      <w:sz w:val="16"/>
                      <w:szCs w:val="16"/>
                    </w:rPr>
                  </w:pPr>
                </w:p>
              </w:tc>
              <w:tc>
                <w:tcPr>
                  <w:tcW w:w="4667" w:type="dxa"/>
                </w:tcPr>
                <w:p w14:paraId="222552DB" w14:textId="77777777" w:rsidR="00EB547C" w:rsidRPr="00DF13C9" w:rsidRDefault="00EB547C" w:rsidP="006535D3">
                  <w:pPr>
                    <w:pStyle w:val="Footer"/>
                    <w:jc w:val="right"/>
                    <w:rPr>
                      <w:sz w:val="16"/>
                      <w:szCs w:val="16"/>
                    </w:rPr>
                  </w:pPr>
                </w:p>
              </w:tc>
            </w:tr>
          </w:tbl>
          <w:p w14:paraId="2EC57C7B" w14:textId="5871E4B3" w:rsidR="00EB547C" w:rsidRPr="00DF13C9" w:rsidRDefault="00A243FC" w:rsidP="006535D3">
            <w:pPr>
              <w:pStyle w:val="Footer"/>
              <w:pBdr>
                <w:top w:val="single" w:sz="4" w:space="1" w:color="auto"/>
              </w:pBdr>
              <w:jc w:val="left"/>
              <w:rPr>
                <w:sz w:val="16"/>
                <w:szCs w:val="16"/>
              </w:rPr>
            </w:pPr>
          </w:p>
        </w:sdtContent>
      </w:sdt>
    </w:sdtContent>
  </w:sdt>
  <w:p w14:paraId="73554651" w14:textId="77777777" w:rsidR="00EB547C" w:rsidRPr="00DF13C9" w:rsidRDefault="00EB547C">
    <w:pPr>
      <w:pStyle w:val="Footer"/>
      <w:rPr>
        <w:sz w:val="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F44D" w14:textId="77777777" w:rsidR="00A243FC" w:rsidRDefault="00A243FC">
      <w:r>
        <w:separator/>
      </w:r>
    </w:p>
  </w:footnote>
  <w:footnote w:type="continuationSeparator" w:id="0">
    <w:p w14:paraId="43133EB9" w14:textId="77777777" w:rsidR="00A243FC" w:rsidRDefault="00A2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5B08" w14:textId="1A787BA4"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w:t>
    </w:r>
    <w:r w:rsidR="00E73E36">
      <w:rPr>
        <w:i/>
        <w:color w:val="365F91" w:themeColor="accent1" w:themeShade="BF"/>
        <w:sz w:val="24"/>
        <w:szCs w:val="24"/>
      </w:rPr>
      <w:t>12</w:t>
    </w:r>
    <w:r>
      <w:rPr>
        <w:i/>
        <w:color w:val="365F91" w:themeColor="accent1" w:themeShade="BF"/>
        <w:sz w:val="24"/>
        <w:szCs w:val="24"/>
      </w:rPr>
      <w:t xml:space="preserve"> Terms of Reference </w:t>
    </w:r>
    <w:r w:rsidR="00EF19BC">
      <w:rPr>
        <w:i/>
        <w:color w:val="365F91" w:themeColor="accent1" w:themeShade="BF"/>
        <w:sz w:val="24"/>
        <w:szCs w:val="24"/>
      </w:rPr>
      <w:t xml:space="preserve">- </w:t>
    </w:r>
    <w:r w:rsidR="00EF19BC" w:rsidRPr="00EF19BC">
      <w:rPr>
        <w:i/>
        <w:color w:val="365F91" w:themeColor="accent1" w:themeShade="BF"/>
        <w:sz w:val="24"/>
        <w:szCs w:val="24"/>
      </w:rPr>
      <w:t>Technical Committee (Laboratories, Inspection Bodies, Reference Materials Producers, Proficiency Testing</w:t>
    </w:r>
    <w:r w:rsidR="00DF13C9">
      <w:rPr>
        <w:i/>
        <w:color w:val="365F91" w:themeColor="accent1" w:themeShade="BF"/>
        <w:sz w:val="24"/>
        <w:szCs w:val="24"/>
      </w:rPr>
      <w:t xml:space="preserve"> and Biobanks</w:t>
    </w:r>
    <w:r w:rsidR="00EF19BC" w:rsidRPr="00EF19BC">
      <w:rPr>
        <w:i/>
        <w:color w:val="365F91" w:themeColor="accent1" w:themeShade="BF"/>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EB547C" w:rsidRPr="007C3199" w:rsidRDefault="00EB547C" w:rsidP="00004315">
    <w:pPr>
      <w:pStyle w:val="CoverPartyNames"/>
      <w:rPr>
        <w:color w:val="365F91" w:themeColor="accent1" w:themeShade="BF"/>
      </w:rPr>
    </w:pPr>
    <w:bookmarkStart w:id="1" w:name="_Hlk491774868"/>
    <w:r w:rsidRPr="007C3199">
      <w:rPr>
        <w:b/>
        <w:color w:val="365F91" w:themeColor="accent1" w:themeShade="BF"/>
      </w:rPr>
      <w:t>APAC</w:t>
    </w:r>
    <w:r>
      <w:rPr>
        <w:color w:val="365F91" w:themeColor="accent1" w:themeShade="BF"/>
      </w:rPr>
      <w:t xml:space="preserve"> XXX</w:t>
    </w:r>
  </w:p>
  <w:bookmarkEnd w:id="1"/>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7"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4"/>
  </w:num>
  <w:num w:numId="10">
    <w:abstractNumId w:val="11"/>
  </w:num>
  <w:num w:numId="11">
    <w:abstractNumId w:val="14"/>
  </w:num>
  <w:num w:numId="12">
    <w:abstractNumId w:val="2"/>
  </w:num>
  <w:num w:numId="13">
    <w:abstractNumId w:val="2"/>
    <w:lvlOverride w:ilvl="0">
      <w:startOverride w:val="5"/>
    </w:lvlOverride>
    <w:lvlOverride w:ilvl="1">
      <w:startOverride w:val="2"/>
    </w:lvlOverride>
  </w:num>
  <w:num w:numId="14">
    <w:abstractNumId w:val="18"/>
  </w:num>
  <w:num w:numId="15">
    <w:abstractNumId w:val="13"/>
  </w:num>
  <w:num w:numId="16">
    <w:abstractNumId w:val="5"/>
  </w:num>
  <w:num w:numId="17">
    <w:abstractNumId w:val="8"/>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3369"/>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3F01"/>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C6C5C"/>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1C21"/>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497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35E9F"/>
    <w:rsid w:val="00440B3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D78EF"/>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2AD4"/>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29E"/>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E97"/>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86E"/>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54F"/>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D4F37"/>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465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43FC"/>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4353"/>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26B1"/>
    <w:rsid w:val="00C932E9"/>
    <w:rsid w:val="00C93780"/>
    <w:rsid w:val="00C93FA0"/>
    <w:rsid w:val="00C955B5"/>
    <w:rsid w:val="00C95736"/>
    <w:rsid w:val="00C96D18"/>
    <w:rsid w:val="00C970E8"/>
    <w:rsid w:val="00C973DE"/>
    <w:rsid w:val="00CA02BD"/>
    <w:rsid w:val="00CA2764"/>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607B"/>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2FC8"/>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30C4"/>
    <w:rsid w:val="00DD47BA"/>
    <w:rsid w:val="00DD572E"/>
    <w:rsid w:val="00DD57FD"/>
    <w:rsid w:val="00DD582F"/>
    <w:rsid w:val="00DD5AFF"/>
    <w:rsid w:val="00DD6A45"/>
    <w:rsid w:val="00DE07DB"/>
    <w:rsid w:val="00DE0C67"/>
    <w:rsid w:val="00DE11BC"/>
    <w:rsid w:val="00DE32A9"/>
    <w:rsid w:val="00DE332E"/>
    <w:rsid w:val="00DE4E84"/>
    <w:rsid w:val="00DE518D"/>
    <w:rsid w:val="00DE69BC"/>
    <w:rsid w:val="00DE72DD"/>
    <w:rsid w:val="00DE7F2A"/>
    <w:rsid w:val="00DF06FC"/>
    <w:rsid w:val="00DF076B"/>
    <w:rsid w:val="00DF13C9"/>
    <w:rsid w:val="00DF14C0"/>
    <w:rsid w:val="00DF4306"/>
    <w:rsid w:val="00DF4A87"/>
    <w:rsid w:val="00DF4E20"/>
    <w:rsid w:val="00DF5436"/>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07F2"/>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3E89"/>
    <w:rsid w:val="00F6549A"/>
    <w:rsid w:val="00F65BF9"/>
    <w:rsid w:val="00F65E9C"/>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1E03-23F5-4C16-8071-B2155417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2021-01-13T02:04:00Z</dcterms:created>
  <dcterms:modified xsi:type="dcterms:W3CDTF">2021-01-13T02:04:00Z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